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205861">
      <w:pPr>
        <w:ind w:firstLine="480"/>
        <w:rPr>
          <w:rFonts w:hint="eastAsia"/>
        </w:rPr>
      </w:pPr>
    </w:p>
    <w:p w14:paraId="35EB5C80">
      <w:pPr>
        <w:ind w:firstLine="480"/>
        <w:rPr>
          <w:rFonts w:hint="eastAsia"/>
        </w:rPr>
      </w:pPr>
      <w:bookmarkStart w:id="126" w:name="_GoBack"/>
      <w:r>
        <w:rPr>
          <w:rFonts w:eastAsiaTheme="minorEastAsia"/>
        </w:rPr>
        <w:drawing>
          <wp:anchor distT="0" distB="0" distL="114300" distR="114300" simplePos="0" relativeHeight="251659264" behindDoc="0" locked="0" layoutInCell="1" allowOverlap="1">
            <wp:simplePos x="0" y="0"/>
            <wp:positionH relativeFrom="column">
              <wp:posOffset>-137795</wp:posOffset>
            </wp:positionH>
            <wp:positionV relativeFrom="paragraph">
              <wp:posOffset>0</wp:posOffset>
            </wp:positionV>
            <wp:extent cx="1813560" cy="530860"/>
            <wp:effectExtent l="0" t="0" r="2540" b="2540"/>
            <wp:wrapNone/>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6">
                      <a:lum bright="-28000" contrast="62000"/>
                    </a:blip>
                    <a:srcRect/>
                    <a:stretch>
                      <a:fillRect/>
                    </a:stretch>
                  </pic:blipFill>
                  <pic:spPr>
                    <a:xfrm>
                      <a:off x="0" y="0"/>
                      <a:ext cx="1813560" cy="530860"/>
                    </a:xfrm>
                    <a:prstGeom prst="rect">
                      <a:avLst/>
                    </a:prstGeom>
                    <a:solidFill>
                      <a:srgbClr val="000000"/>
                    </a:solidFill>
                  </pic:spPr>
                </pic:pic>
              </a:graphicData>
            </a:graphic>
          </wp:anchor>
        </w:drawing>
      </w:r>
      <w:bookmarkEnd w:id="126"/>
    </w:p>
    <w:p w14:paraId="21487D7C">
      <w:pPr>
        <w:rPr>
          <w:rFonts w:hint="eastAsia"/>
        </w:rPr>
      </w:pPr>
    </w:p>
    <w:p w14:paraId="7502AF7F">
      <w:pPr>
        <w:ind w:firstLine="480"/>
        <w:rPr>
          <w:rFonts w:hint="eastAsia"/>
        </w:rPr>
      </w:pPr>
    </w:p>
    <w:p w14:paraId="031396D9">
      <w:pPr>
        <w:ind w:firstLine="480"/>
        <w:rPr>
          <w:rFonts w:hint="eastAsia"/>
        </w:rPr>
      </w:pPr>
    </w:p>
    <w:p w14:paraId="218EB21D">
      <w:pPr>
        <w:ind w:firstLine="480"/>
        <w:rPr>
          <w:rFonts w:hint="eastAsia"/>
        </w:rPr>
      </w:pPr>
    </w:p>
    <w:p w14:paraId="7A53CD9D">
      <w:pPr>
        <w:ind w:firstLine="480"/>
        <w:rPr>
          <w:rFonts w:hint="eastAsia"/>
        </w:rPr>
      </w:pPr>
    </w:p>
    <w:p w14:paraId="7C03F106">
      <w:pPr>
        <w:ind w:firstLine="480"/>
        <w:rPr>
          <w:rFonts w:hint="eastAsia"/>
        </w:rPr>
      </w:pPr>
    </w:p>
    <w:p w14:paraId="3E427016">
      <w:pPr>
        <w:ind w:firstLine="480"/>
        <w:rPr>
          <w:rFonts w:hint="eastAsia"/>
        </w:rPr>
      </w:pPr>
    </w:p>
    <w:p w14:paraId="15D2CE0B">
      <w:pPr>
        <w:ind w:firstLine="480"/>
        <w:rPr>
          <w:rFonts w:hint="eastAsia"/>
        </w:rPr>
      </w:pPr>
    </w:p>
    <w:p w14:paraId="53372B80">
      <w:pPr>
        <w:jc w:val="center"/>
        <w:outlineLvl w:val="0"/>
        <w:rPr>
          <w:rFonts w:hint="eastAsia"/>
          <w:b/>
          <w:sz w:val="52"/>
          <w:szCs w:val="52"/>
        </w:rPr>
      </w:pPr>
      <w:bookmarkStart w:id="0" w:name="_Toc357852662"/>
      <w:r>
        <w:rPr>
          <w:rFonts w:hint="eastAsia"/>
          <w:b/>
          <w:sz w:val="52"/>
          <w:szCs w:val="52"/>
        </w:rPr>
        <w:t>中国移动（浙江）创新研究院2026-2027年人形机器人设备、四足机器人设备及算力拓展包设备项目（包1：人形机器人设备）</w:t>
      </w:r>
    </w:p>
    <w:bookmarkEnd w:id="0"/>
    <w:p w14:paraId="068CAD7D">
      <w:pPr>
        <w:jc w:val="center"/>
        <w:outlineLvl w:val="0"/>
        <w:rPr>
          <w:rFonts w:hint="eastAsia"/>
          <w:b/>
          <w:sz w:val="52"/>
          <w:szCs w:val="52"/>
        </w:rPr>
      </w:pPr>
    </w:p>
    <w:p w14:paraId="5DE83BAC">
      <w:pPr>
        <w:topLinePunct/>
        <w:spacing w:line="360" w:lineRule="auto"/>
        <w:jc w:val="center"/>
        <w:rPr>
          <w:rFonts w:hint="eastAsia"/>
          <w:b/>
          <w:sz w:val="52"/>
          <w:szCs w:val="52"/>
        </w:rPr>
      </w:pPr>
      <w:r>
        <w:rPr>
          <w:rFonts w:hint="eastAsia"/>
          <w:b/>
          <w:sz w:val="52"/>
          <w:szCs w:val="52"/>
        </w:rPr>
        <w:t>技术规范书</w:t>
      </w:r>
    </w:p>
    <w:p w14:paraId="31461638">
      <w:pPr>
        <w:topLinePunct/>
        <w:spacing w:line="360" w:lineRule="auto"/>
        <w:ind w:firstLine="883"/>
        <w:jc w:val="center"/>
        <w:rPr>
          <w:rFonts w:hint="eastAsia"/>
          <w:b/>
          <w:sz w:val="44"/>
          <w:szCs w:val="44"/>
        </w:rPr>
      </w:pPr>
    </w:p>
    <w:p w14:paraId="68CF28ED">
      <w:pPr>
        <w:jc w:val="both"/>
        <w:rPr>
          <w:rFonts w:hint="eastAsia"/>
          <w:sz w:val="40"/>
        </w:rPr>
      </w:pPr>
    </w:p>
    <w:p w14:paraId="6E61E9FB">
      <w:pPr>
        <w:rPr>
          <w:rFonts w:hint="eastAsia"/>
          <w:sz w:val="40"/>
        </w:rPr>
      </w:pPr>
    </w:p>
    <w:p w14:paraId="3D5A32E0">
      <w:pPr>
        <w:ind w:firstLine="800"/>
        <w:jc w:val="center"/>
        <w:rPr>
          <w:rFonts w:hint="eastAsia"/>
          <w:sz w:val="40"/>
        </w:rPr>
      </w:pPr>
    </w:p>
    <w:p w14:paraId="485E9C68">
      <w:pPr>
        <w:spacing w:line="360" w:lineRule="auto"/>
        <w:ind w:firstLine="643"/>
        <w:jc w:val="center"/>
        <w:rPr>
          <w:rFonts w:hint="eastAsia"/>
          <w:b/>
          <w:sz w:val="32"/>
        </w:rPr>
      </w:pPr>
    </w:p>
    <w:p w14:paraId="70A3243C">
      <w:pPr>
        <w:pStyle w:val="24"/>
        <w:ind w:firstLine="321"/>
        <w:rPr>
          <w:rFonts w:hint="eastAsia" w:ascii="宋体" w:hAnsi="宋体" w:eastAsia="宋体" w:cs="宋体"/>
          <w:b/>
          <w:sz w:val="32"/>
        </w:rPr>
      </w:pPr>
    </w:p>
    <w:p w14:paraId="3DB20590">
      <w:pPr>
        <w:jc w:val="center"/>
        <w:rPr>
          <w:rFonts w:hint="eastAsia"/>
          <w:color w:val="000000"/>
          <w:sz w:val="30"/>
        </w:rPr>
      </w:pPr>
      <w:r>
        <w:rPr>
          <w:rFonts w:hint="eastAsia"/>
          <w:color w:val="000000"/>
          <w:sz w:val="30"/>
        </w:rPr>
        <w:t>中国移动（浙江）创新研究院有限公司</w:t>
      </w:r>
    </w:p>
    <w:p w14:paraId="2A48E4E5">
      <w:pPr>
        <w:jc w:val="center"/>
        <w:rPr>
          <w:rFonts w:hint="eastAsia"/>
          <w:color w:val="000000"/>
          <w:sz w:val="30"/>
        </w:rPr>
      </w:pPr>
      <w:r>
        <w:rPr>
          <w:rFonts w:hint="eastAsia"/>
          <w:color w:val="000000"/>
          <w:sz w:val="30"/>
        </w:rPr>
        <w:t>2026年6月</w:t>
      </w:r>
    </w:p>
    <w:p w14:paraId="4981FDD5">
      <w:pPr>
        <w:pStyle w:val="2"/>
        <w:pageBreakBefore/>
        <w:numPr>
          <w:ilvl w:val="0"/>
          <w:numId w:val="1"/>
        </w:numPr>
        <w:spacing w:before="100" w:beforeAutospacing="1" w:after="100" w:afterAutospacing="1" w:line="360" w:lineRule="auto"/>
        <w:rPr>
          <w:rFonts w:hint="eastAsia" w:ascii="宋体" w:hAnsi="宋体" w:eastAsia="宋体" w:cs="宋体"/>
          <w:sz w:val="36"/>
        </w:rPr>
      </w:pPr>
      <w:bookmarkStart w:id="1" w:name="_Toc1741615879"/>
      <w:bookmarkStart w:id="2" w:name="_Toc453772552"/>
      <w:bookmarkStart w:id="3" w:name="_Toc132117406"/>
      <w:bookmarkStart w:id="4" w:name="_Toc1702018116"/>
      <w:bookmarkStart w:id="5" w:name="_Toc1475478634"/>
      <w:r>
        <w:rPr>
          <w:rFonts w:hint="eastAsia" w:ascii="宋体" w:hAnsi="宋体" w:eastAsia="宋体" w:cs="宋体"/>
          <w:sz w:val="36"/>
        </w:rPr>
        <w:t>总则</w:t>
      </w:r>
      <w:bookmarkEnd w:id="1"/>
      <w:bookmarkEnd w:id="2"/>
      <w:bookmarkEnd w:id="3"/>
      <w:bookmarkEnd w:id="4"/>
      <w:bookmarkEnd w:id="5"/>
    </w:p>
    <w:p w14:paraId="1AF3A9A6">
      <w:pPr>
        <w:pStyle w:val="3"/>
        <w:numPr>
          <w:ilvl w:val="1"/>
          <w:numId w:val="1"/>
        </w:numPr>
        <w:spacing w:before="100" w:beforeAutospacing="1" w:after="100" w:afterAutospacing="1" w:line="360" w:lineRule="auto"/>
        <w:rPr>
          <w:rFonts w:hint="eastAsia" w:ascii="宋体" w:hAnsi="宋体" w:eastAsia="宋体" w:cs="宋体"/>
          <w:sz w:val="28"/>
        </w:rPr>
      </w:pPr>
      <w:bookmarkStart w:id="6" w:name="_Toc1375729729"/>
      <w:bookmarkStart w:id="7" w:name="_Toc132117407"/>
      <w:bookmarkStart w:id="8" w:name="_Toc1135969743"/>
      <w:bookmarkStart w:id="9" w:name="_Toc453772553"/>
      <w:bookmarkStart w:id="10" w:name="_Toc1336297572"/>
      <w:r>
        <w:rPr>
          <w:rFonts w:hint="eastAsia" w:ascii="宋体" w:hAnsi="宋体" w:eastAsia="宋体" w:cs="宋体"/>
          <w:sz w:val="28"/>
        </w:rPr>
        <w:t>概述</w:t>
      </w:r>
      <w:bookmarkEnd w:id="6"/>
      <w:bookmarkEnd w:id="7"/>
      <w:bookmarkEnd w:id="8"/>
      <w:bookmarkEnd w:id="9"/>
      <w:bookmarkEnd w:id="10"/>
    </w:p>
    <w:p w14:paraId="10C013E8">
      <w:pPr>
        <w:spacing w:line="360" w:lineRule="auto"/>
        <w:ind w:firstLine="480"/>
        <w:rPr>
          <w:rFonts w:hint="eastAsia"/>
          <w:bCs/>
          <w:iCs/>
        </w:rPr>
      </w:pPr>
      <w:bookmarkStart w:id="11" w:name="_Toc269301121"/>
      <w:r>
        <w:rPr>
          <w:rFonts w:hint="eastAsia"/>
          <w:bCs/>
          <w:iCs/>
        </w:rPr>
        <w:t>本技术规范书即为中国移动（浙江）创新研究院（以下简称甲方），针对中国移动（浙江）创新研究院2026-2027年人形机器人设备、四足机器人设备及算力拓展包设备（包1：人形机器人设备）项目的第三方（以下简称乙方）制定的要求和标准。其目的在于有效规范乙方所提供的硬件设备质量，并作为甲方评价乙方所提供技术服务的依据，保证甲方更为合理的选择和使用相关技术服务。</w:t>
      </w:r>
      <w:bookmarkEnd w:id="11"/>
    </w:p>
    <w:p w14:paraId="33C87383">
      <w:pPr>
        <w:spacing w:line="360" w:lineRule="auto"/>
        <w:ind w:firstLine="480"/>
        <w:rPr>
          <w:rFonts w:hint="eastAsia"/>
          <w:bCs/>
          <w:iCs/>
        </w:rPr>
      </w:pPr>
      <w:bookmarkStart w:id="12" w:name="_Toc269300715"/>
      <w:bookmarkStart w:id="13" w:name="_Toc269300756"/>
      <w:bookmarkStart w:id="14" w:name="_Toc269301123"/>
      <w:r>
        <w:rPr>
          <w:rFonts w:hint="eastAsia"/>
          <w:bCs/>
          <w:iCs/>
        </w:rPr>
        <w:t>卖方应保证所提供的设备在功能能力、产品性能、技术指标、服务内容等方面满足本规范的要求。当中国移动</w:t>
      </w:r>
      <w:r>
        <w:rPr>
          <w:rFonts w:hint="eastAsia"/>
          <w:bCs/>
          <w:iCs/>
          <w:lang w:eastAsia="zh-Hans"/>
        </w:rPr>
        <w:t>（</w:t>
      </w:r>
      <w:r>
        <w:rPr>
          <w:rFonts w:hint="eastAsia"/>
          <w:bCs/>
          <w:iCs/>
        </w:rPr>
        <w:t>浙江）创新研究院有新建议的功能、性能、技术、服务要求，而本规范又尚未包括或和原规定不符时，则应符合中国移动（浙江）创新研究院新建议的要求。对于中国移动（浙江）创新研究院尚未有标准的，而本规范又未提及的部分，卖方提出其标准，得到买方认可方可执行。</w:t>
      </w:r>
      <w:bookmarkEnd w:id="12"/>
      <w:bookmarkEnd w:id="13"/>
      <w:bookmarkEnd w:id="14"/>
    </w:p>
    <w:p w14:paraId="2C044654">
      <w:pPr>
        <w:pStyle w:val="3"/>
        <w:numPr>
          <w:ilvl w:val="1"/>
          <w:numId w:val="1"/>
        </w:numPr>
        <w:spacing w:before="100" w:beforeAutospacing="1" w:after="100" w:afterAutospacing="1" w:line="360" w:lineRule="auto"/>
        <w:rPr>
          <w:rFonts w:hint="eastAsia" w:ascii="宋体" w:hAnsi="宋体" w:eastAsia="宋体" w:cs="宋体"/>
          <w:sz w:val="28"/>
        </w:rPr>
      </w:pPr>
      <w:bookmarkStart w:id="15" w:name="_Toc2080611701"/>
      <w:bookmarkStart w:id="16" w:name="_Toc1113848771"/>
      <w:bookmarkStart w:id="17" w:name="_Toc132117408"/>
      <w:bookmarkStart w:id="18" w:name="_Toc769312278"/>
      <w:bookmarkStart w:id="19" w:name="_Toc453772554"/>
      <w:r>
        <w:rPr>
          <w:rFonts w:hint="eastAsia" w:ascii="宋体" w:hAnsi="宋体" w:eastAsia="宋体" w:cs="宋体"/>
          <w:sz w:val="28"/>
          <w:lang w:eastAsia="zh-Hans"/>
        </w:rPr>
        <w:t>规范</w:t>
      </w:r>
      <w:r>
        <w:rPr>
          <w:rFonts w:hint="eastAsia" w:ascii="宋体" w:hAnsi="宋体" w:eastAsia="宋体" w:cs="宋体"/>
          <w:sz w:val="28"/>
        </w:rPr>
        <w:t>要求</w:t>
      </w:r>
      <w:bookmarkEnd w:id="15"/>
      <w:bookmarkEnd w:id="16"/>
      <w:bookmarkEnd w:id="17"/>
      <w:bookmarkEnd w:id="18"/>
      <w:bookmarkEnd w:id="19"/>
    </w:p>
    <w:p w14:paraId="3B0AC0E9">
      <w:pPr>
        <w:pStyle w:val="43"/>
        <w:ind w:firstLine="480"/>
        <w:rPr>
          <w:rFonts w:hint="eastAsia" w:ascii="宋体" w:hAnsi="宋体"/>
        </w:rPr>
      </w:pPr>
      <w:r>
        <w:rPr>
          <w:rFonts w:hint="eastAsia" w:ascii="宋体" w:hAnsi="宋体" w:cs="宋体"/>
          <w:color w:val="000000"/>
        </w:rPr>
        <w:t>（1）</w:t>
      </w:r>
      <w:r>
        <w:rPr>
          <w:rFonts w:hint="eastAsia" w:ascii="宋体" w:hAnsi="宋体"/>
        </w:rPr>
        <w:t>卖方</w:t>
      </w:r>
      <w:r>
        <w:rPr>
          <w:rFonts w:ascii="宋体" w:hAnsi="宋体"/>
        </w:rPr>
        <w:t>应承诺所提供的</w:t>
      </w:r>
      <w:r>
        <w:rPr>
          <w:rFonts w:hint="eastAsia" w:ascii="宋体" w:hAnsi="宋体"/>
        </w:rPr>
        <w:t>服务</w:t>
      </w:r>
      <w:r>
        <w:rPr>
          <w:rFonts w:ascii="宋体" w:hAnsi="宋体"/>
        </w:rPr>
        <w:t>满足</w:t>
      </w:r>
      <w:r>
        <w:rPr>
          <w:rFonts w:hint="eastAsia" w:ascii="宋体" w:hAnsi="宋体"/>
        </w:rPr>
        <w:t>本技术规范书</w:t>
      </w:r>
      <w:r>
        <w:rPr>
          <w:rFonts w:ascii="宋体" w:hAnsi="宋体"/>
        </w:rPr>
        <w:t>的要求</w:t>
      </w:r>
      <w:r>
        <w:rPr>
          <w:rFonts w:hint="eastAsia" w:ascii="宋体" w:hAnsi="宋体"/>
        </w:rPr>
        <w:t>。</w:t>
      </w:r>
    </w:p>
    <w:p w14:paraId="26976D8F">
      <w:pPr>
        <w:pStyle w:val="43"/>
        <w:ind w:firstLine="480"/>
        <w:rPr>
          <w:rFonts w:hint="eastAsia" w:ascii="宋体" w:hAnsi="宋体" w:cs="宋体"/>
          <w:color w:val="000000"/>
        </w:rPr>
      </w:pPr>
      <w:r>
        <w:rPr>
          <w:rFonts w:ascii="宋体" w:hAnsi="宋体" w:cs="宋体"/>
          <w:color w:val="000000"/>
        </w:rPr>
        <w:t>（2）当</w:t>
      </w:r>
      <w:r>
        <w:rPr>
          <w:rFonts w:hint="eastAsia" w:ascii="宋体" w:hAnsi="宋体" w:cs="宋体"/>
          <w:color w:val="000000"/>
        </w:rPr>
        <w:t>买方</w:t>
      </w:r>
      <w:r>
        <w:rPr>
          <w:rFonts w:ascii="宋体" w:hAnsi="宋体" w:cs="宋体"/>
          <w:color w:val="000000"/>
        </w:rPr>
        <w:t>有新建议，而</w:t>
      </w:r>
      <w:r>
        <w:rPr>
          <w:rFonts w:hint="eastAsia" w:ascii="宋体" w:hAnsi="宋体" w:cs="宋体"/>
          <w:color w:val="000000"/>
        </w:rPr>
        <w:t>本技术规范书</w:t>
      </w:r>
      <w:r>
        <w:rPr>
          <w:rFonts w:ascii="宋体" w:hAnsi="宋体" w:cs="宋体"/>
          <w:color w:val="000000"/>
        </w:rPr>
        <w:t>又尚未包括或和</w:t>
      </w:r>
      <w:r>
        <w:rPr>
          <w:rFonts w:hint="eastAsia" w:ascii="宋体" w:hAnsi="宋体" w:cs="宋体"/>
          <w:color w:val="000000"/>
        </w:rPr>
        <w:t>本技术规范书</w:t>
      </w:r>
      <w:r>
        <w:rPr>
          <w:rFonts w:ascii="宋体" w:hAnsi="宋体" w:cs="宋体"/>
          <w:color w:val="000000"/>
        </w:rPr>
        <w:t>不符时，则应符合</w:t>
      </w:r>
      <w:r>
        <w:rPr>
          <w:rFonts w:hint="eastAsia" w:ascii="宋体" w:hAnsi="宋体" w:cs="宋体"/>
          <w:color w:val="000000"/>
        </w:rPr>
        <w:t>买方</w:t>
      </w:r>
      <w:r>
        <w:rPr>
          <w:rFonts w:ascii="宋体" w:hAnsi="宋体" w:cs="宋体"/>
          <w:color w:val="000000"/>
        </w:rPr>
        <w:t>新建议的要求；对于</w:t>
      </w:r>
      <w:r>
        <w:rPr>
          <w:rFonts w:hint="eastAsia" w:ascii="宋体" w:hAnsi="宋体" w:cs="宋体"/>
          <w:color w:val="000000"/>
        </w:rPr>
        <w:t>买方</w:t>
      </w:r>
      <w:r>
        <w:rPr>
          <w:rFonts w:ascii="宋体" w:hAnsi="宋体" w:cs="宋体"/>
          <w:color w:val="000000"/>
        </w:rPr>
        <w:t>尚未有标准的，而</w:t>
      </w:r>
      <w:r>
        <w:rPr>
          <w:rFonts w:hint="eastAsia" w:ascii="宋体" w:hAnsi="宋体" w:cs="宋体"/>
          <w:color w:val="000000"/>
        </w:rPr>
        <w:t>本技术规范书</w:t>
      </w:r>
      <w:r>
        <w:rPr>
          <w:rFonts w:ascii="宋体" w:hAnsi="宋体" w:cs="宋体"/>
          <w:color w:val="000000"/>
        </w:rPr>
        <w:t>又未提及的部分，</w:t>
      </w:r>
      <w:r>
        <w:rPr>
          <w:rFonts w:hint="eastAsia" w:ascii="宋体" w:hAnsi="宋体" w:cs="宋体"/>
          <w:color w:val="000000"/>
        </w:rPr>
        <w:t>卖方</w:t>
      </w:r>
      <w:r>
        <w:rPr>
          <w:rFonts w:ascii="宋体" w:hAnsi="宋体" w:cs="宋体"/>
          <w:color w:val="000000"/>
        </w:rPr>
        <w:t>提出其标准，留待双方认可后执行。</w:t>
      </w:r>
    </w:p>
    <w:p w14:paraId="1A52C24C">
      <w:pPr>
        <w:pStyle w:val="43"/>
        <w:ind w:firstLine="480"/>
        <w:rPr>
          <w:rFonts w:hint="eastAsia" w:ascii="宋体" w:hAnsi="宋体" w:cs="宋体"/>
          <w:color w:val="000000"/>
        </w:rPr>
      </w:pPr>
      <w:r>
        <w:rPr>
          <w:rFonts w:ascii="宋体" w:hAnsi="宋体" w:cs="宋体"/>
          <w:color w:val="000000"/>
        </w:rPr>
        <w:t>（3）未经买方许可，卖方不得以任何形式向第三方提供本文件的全部或部分内容。</w:t>
      </w:r>
    </w:p>
    <w:p w14:paraId="73F48BB0">
      <w:pPr>
        <w:spacing w:line="360" w:lineRule="auto"/>
        <w:ind w:firstLine="480"/>
        <w:rPr>
          <w:rFonts w:hint="eastAsia"/>
          <w:color w:val="000000"/>
          <w:szCs w:val="20"/>
        </w:rPr>
      </w:pPr>
      <w:r>
        <w:rPr>
          <w:color w:val="000000"/>
          <w:szCs w:val="20"/>
        </w:rPr>
        <w:t>（4）买方在任何时候保留和拥有对本文件的解释权和修改权。</w:t>
      </w:r>
    </w:p>
    <w:p w14:paraId="079FD3FB">
      <w:pPr>
        <w:pStyle w:val="2"/>
        <w:numPr>
          <w:ilvl w:val="0"/>
          <w:numId w:val="1"/>
        </w:numPr>
        <w:spacing w:before="100" w:beforeAutospacing="1" w:after="100" w:afterAutospacing="1" w:line="360" w:lineRule="auto"/>
        <w:rPr>
          <w:rFonts w:hint="eastAsia" w:ascii="宋体" w:hAnsi="宋体" w:eastAsia="宋体" w:cs="宋体"/>
          <w:sz w:val="36"/>
        </w:rPr>
      </w:pPr>
      <w:bookmarkStart w:id="20" w:name="_Toc453772563"/>
      <w:bookmarkStart w:id="21" w:name="_Toc132117414"/>
      <w:bookmarkStart w:id="22" w:name="_Toc841343298"/>
      <w:bookmarkStart w:id="23" w:name="_Toc1364634606"/>
      <w:bookmarkStart w:id="24" w:name="_Toc1979901406"/>
      <w:r>
        <w:rPr>
          <w:rFonts w:hint="eastAsia" w:ascii="宋体" w:hAnsi="宋体" w:eastAsia="宋体" w:cs="宋体"/>
          <w:sz w:val="36"/>
          <w:lang w:eastAsia="zh-Hans"/>
        </w:rPr>
        <w:t>项目总体</w:t>
      </w:r>
      <w:bookmarkEnd w:id="20"/>
      <w:bookmarkEnd w:id="21"/>
      <w:r>
        <w:rPr>
          <w:rFonts w:hint="eastAsia" w:ascii="宋体" w:hAnsi="宋体" w:eastAsia="宋体" w:cs="宋体"/>
          <w:sz w:val="36"/>
          <w:lang w:eastAsia="zh-Hans"/>
        </w:rPr>
        <w:t>要求</w:t>
      </w:r>
      <w:bookmarkEnd w:id="22"/>
      <w:bookmarkEnd w:id="23"/>
      <w:bookmarkEnd w:id="24"/>
    </w:p>
    <w:p w14:paraId="1993ED2C">
      <w:pPr>
        <w:pStyle w:val="3"/>
        <w:numPr>
          <w:ilvl w:val="1"/>
          <w:numId w:val="1"/>
        </w:numPr>
        <w:spacing w:before="100" w:beforeAutospacing="1" w:after="100" w:afterAutospacing="1" w:line="360" w:lineRule="auto"/>
        <w:rPr>
          <w:rFonts w:hint="eastAsia" w:ascii="宋体" w:hAnsi="宋体" w:eastAsia="宋体" w:cs="宋体"/>
          <w:sz w:val="30"/>
          <w:szCs w:val="30"/>
        </w:rPr>
      </w:pPr>
      <w:bookmarkStart w:id="25" w:name="_Toc1424477638"/>
      <w:bookmarkStart w:id="26" w:name="_Toc943820377"/>
      <w:bookmarkStart w:id="27" w:name="_Toc132117415"/>
      <w:bookmarkStart w:id="28" w:name="_Toc288473082"/>
      <w:r>
        <w:rPr>
          <w:rFonts w:hint="eastAsia" w:ascii="宋体" w:hAnsi="宋体" w:eastAsia="宋体" w:cs="宋体"/>
          <w:sz w:val="30"/>
          <w:szCs w:val="30"/>
        </w:rPr>
        <w:t>项目</w:t>
      </w:r>
      <w:bookmarkEnd w:id="25"/>
      <w:bookmarkEnd w:id="26"/>
      <w:bookmarkEnd w:id="27"/>
      <w:r>
        <w:rPr>
          <w:rFonts w:hint="eastAsia" w:ascii="宋体" w:hAnsi="宋体" w:eastAsia="宋体" w:cs="宋体"/>
          <w:sz w:val="30"/>
          <w:szCs w:val="30"/>
        </w:rPr>
        <w:t>背景</w:t>
      </w:r>
      <w:bookmarkEnd w:id="28"/>
    </w:p>
    <w:p w14:paraId="5AFE722C">
      <w:pPr>
        <w:spacing w:line="360" w:lineRule="auto"/>
        <w:ind w:firstLine="480"/>
        <w:rPr>
          <w:rFonts w:hint="eastAsia"/>
        </w:rPr>
      </w:pPr>
      <w:bookmarkStart w:id="29" w:name="_Toc491091622"/>
      <w:bookmarkStart w:id="30" w:name="_Toc448259533"/>
      <w:bookmarkStart w:id="31" w:name="_Toc132117419"/>
      <w:bookmarkStart w:id="32" w:name="_Toc460445044"/>
      <w:r>
        <w:t>当前具身智能产业进入高速发展期，</w:t>
      </w:r>
      <w:r>
        <w:rPr>
          <w:rFonts w:hint="eastAsia"/>
        </w:rPr>
        <w:t>企业展厅、科技馆、</w:t>
      </w:r>
      <w:r>
        <w:t>高校及行业场景对智能机器人应用需求持续旺盛。具身智能以大模型为核心大脑，结合感知、决策、运动控制与环境交互，实现从 AI 算法到实体执行的闭环，成为人工智能落地的关键方向</w:t>
      </w:r>
      <w:r>
        <w:rPr>
          <w:rFonts w:hint="eastAsia"/>
        </w:rPr>
        <w:t>。</w:t>
      </w:r>
    </w:p>
    <w:p w14:paraId="6E6EDCDF">
      <w:pPr>
        <w:spacing w:line="360" w:lineRule="auto"/>
        <w:ind w:firstLine="480"/>
        <w:rPr>
          <w:rFonts w:hint="eastAsia"/>
        </w:rPr>
      </w:pPr>
      <w:r>
        <w:rPr>
          <w:rFonts w:hint="eastAsia"/>
        </w:rPr>
        <w:t>目前，具身智能产品已正式进入推广运营阶段，并在市场上获得了广泛的关注与积极反响。2026年浙江移动政企客户部正式决策引入具身智能服务产品，联合开展全省范围的业务规模化推广。</w:t>
      </w:r>
    </w:p>
    <w:bookmarkEnd w:id="29"/>
    <w:bookmarkEnd w:id="30"/>
    <w:bookmarkEnd w:id="31"/>
    <w:bookmarkEnd w:id="32"/>
    <w:p w14:paraId="2E1C3D84">
      <w:pPr>
        <w:pStyle w:val="3"/>
        <w:numPr>
          <w:ilvl w:val="1"/>
          <w:numId w:val="1"/>
        </w:numPr>
        <w:spacing w:before="100" w:beforeAutospacing="1" w:after="100" w:afterAutospacing="1" w:line="360" w:lineRule="auto"/>
        <w:rPr>
          <w:rFonts w:hint="eastAsia" w:ascii="宋体" w:hAnsi="宋体" w:eastAsia="宋体" w:cs="宋体"/>
          <w:kern w:val="0"/>
          <w:sz w:val="30"/>
          <w:szCs w:val="20"/>
          <w:lang w:eastAsia="zh-Hans"/>
        </w:rPr>
      </w:pPr>
      <w:bookmarkStart w:id="33" w:name="_Toc1496497895"/>
      <w:bookmarkStart w:id="34" w:name="_Toc1474859497"/>
      <w:bookmarkStart w:id="35" w:name="_Toc1047965110"/>
      <w:bookmarkStart w:id="36" w:name="_Toc78556734"/>
      <w:bookmarkStart w:id="37" w:name="_Toc3775"/>
      <w:r>
        <w:rPr>
          <w:rFonts w:hint="eastAsia" w:ascii="宋体" w:hAnsi="宋体" w:eastAsia="宋体" w:cs="宋体"/>
          <w:kern w:val="0"/>
          <w:sz w:val="30"/>
          <w:szCs w:val="20"/>
        </w:rPr>
        <w:t>建设目标</w:t>
      </w:r>
      <w:bookmarkEnd w:id="33"/>
      <w:bookmarkEnd w:id="34"/>
      <w:bookmarkEnd w:id="35"/>
    </w:p>
    <w:p w14:paraId="0C70B704">
      <w:pPr>
        <w:pStyle w:val="80"/>
        <w:spacing w:line="360" w:lineRule="auto"/>
        <w:ind w:firstLine="420" w:firstLineChars="0"/>
        <w:rPr>
          <w:rFonts w:hint="eastAsia" w:ascii="宋体" w:hAnsi="宋体"/>
        </w:rPr>
      </w:pPr>
      <w:r>
        <w:rPr>
          <w:rFonts w:hint="eastAsia" w:ascii="宋体" w:hAnsi="宋体" w:cs="宋体"/>
        </w:rPr>
        <w:t>响应市场对具身智能的迫切需求</w:t>
      </w:r>
      <w:r>
        <w:rPr>
          <w:rFonts w:hint="eastAsia" w:ascii="宋体" w:hAnsi="宋体"/>
        </w:rPr>
        <w:t>，提供人形机器人及配套电池等硬件。</w:t>
      </w:r>
      <w:r>
        <w:rPr>
          <w:rFonts w:hint="eastAsia" w:ascii="宋体" w:hAnsi="宋体" w:cs="宋体"/>
        </w:rPr>
        <w:t>通过深度融合自主导航、语音对话与手势互动等能力，提升具身智能硬件产品对不同场景的适配性，进一步强化产品市场适应性与竞争力，</w:t>
      </w:r>
      <w:r>
        <w:rPr>
          <w:rFonts w:hint="eastAsia" w:ascii="宋体" w:hAnsi="宋体"/>
        </w:rPr>
        <w:t>满足在展厅导览、文旅服务、城市宣传等行业领域的常态化应用</w:t>
      </w:r>
      <w:r>
        <w:rPr>
          <w:rFonts w:hint="eastAsia" w:ascii="宋体" w:hAnsi="宋体" w:cs="宋体"/>
          <w:szCs w:val="22"/>
        </w:rPr>
        <w:t>。</w:t>
      </w:r>
    </w:p>
    <w:p w14:paraId="5B29C18F">
      <w:pPr>
        <w:pStyle w:val="3"/>
        <w:numPr>
          <w:ilvl w:val="1"/>
          <w:numId w:val="1"/>
        </w:numPr>
        <w:spacing w:before="100" w:beforeAutospacing="1" w:after="100" w:afterAutospacing="1" w:line="360" w:lineRule="auto"/>
        <w:rPr>
          <w:rFonts w:hint="eastAsia" w:ascii="宋体" w:hAnsi="宋体" w:eastAsia="宋体" w:cs="宋体"/>
          <w:kern w:val="0"/>
          <w:sz w:val="30"/>
          <w:szCs w:val="20"/>
        </w:rPr>
      </w:pPr>
      <w:bookmarkStart w:id="38" w:name="_Toc1707312405"/>
      <w:bookmarkStart w:id="39" w:name="_Toc1636214723"/>
      <w:bookmarkStart w:id="40" w:name="_Toc311647601"/>
      <w:r>
        <w:rPr>
          <w:rFonts w:hint="eastAsia" w:ascii="宋体" w:hAnsi="宋体" w:eastAsia="宋体" w:cs="宋体"/>
          <w:kern w:val="0"/>
          <w:sz w:val="30"/>
          <w:szCs w:val="20"/>
        </w:rPr>
        <w:t>项目内容要求</w:t>
      </w:r>
      <w:bookmarkEnd w:id="38"/>
      <w:bookmarkEnd w:id="39"/>
      <w:bookmarkEnd w:id="40"/>
    </w:p>
    <w:p w14:paraId="6BF37220">
      <w:pPr>
        <w:spacing w:line="360" w:lineRule="auto"/>
        <w:ind w:firstLine="480"/>
        <w:rPr>
          <w:rFonts w:hint="eastAsia"/>
        </w:rPr>
      </w:pPr>
      <w:r>
        <w:rPr>
          <w:rFonts w:hint="eastAsia"/>
        </w:rPr>
        <w:t>本次项目采购的具身智能配套设备共19套，甲方负责提供产品</w:t>
      </w:r>
      <w:r>
        <w:t>数量、规格参数</w:t>
      </w:r>
      <w:r>
        <w:rPr>
          <w:rFonts w:hint="eastAsia"/>
        </w:rPr>
        <w:t>、</w:t>
      </w:r>
      <w:r>
        <w:t>技术及验收标准</w:t>
      </w:r>
      <w:r>
        <w:rPr>
          <w:rFonts w:hint="eastAsia"/>
        </w:rPr>
        <w:t>等，乙方根据甲方</w:t>
      </w:r>
      <w:r>
        <w:t>确认后的方案及需求，</w:t>
      </w:r>
      <w:r>
        <w:rPr>
          <w:rFonts w:hint="eastAsia"/>
        </w:rPr>
        <w:t>提供</w:t>
      </w:r>
      <w:r>
        <w:t>符合标准的设备，严格把控设备质量，提前完成设备出厂检测、参数调试，确保设备符合甲方预设标准及相关行业规范，避免质量问题影响交付</w:t>
      </w:r>
      <w:r>
        <w:rPr>
          <w:rFonts w:hint="eastAsia"/>
        </w:rPr>
        <w:t>，并</w:t>
      </w:r>
      <w:r>
        <w:t>制定详细的交付验收方案、流程及标准，配合甲方完成设备交付验收工作，及时处理验收过程中出现的问题，直至验收合格</w:t>
      </w:r>
      <w:r>
        <w:rPr>
          <w:rFonts w:hint="eastAsia"/>
        </w:rPr>
        <w:t>，同时</w:t>
      </w:r>
      <w:r>
        <w:t>持续跟进甲方设备使用情况，根据甲方后续场景调整、需求升级，提供设备参数优化、功能拓展等技术支持，助力甲方充分发挥具身智能配套设备的应用</w:t>
      </w:r>
      <w:r>
        <w:rPr>
          <w:rFonts w:hint="eastAsia"/>
        </w:rPr>
        <w:t>价值。</w:t>
      </w:r>
    </w:p>
    <w:p w14:paraId="756E1408">
      <w:pPr>
        <w:pStyle w:val="2"/>
        <w:numPr>
          <w:ilvl w:val="0"/>
          <w:numId w:val="1"/>
        </w:numPr>
        <w:spacing w:before="100" w:beforeAutospacing="1" w:after="100" w:afterAutospacing="1" w:line="360" w:lineRule="auto"/>
        <w:rPr>
          <w:rFonts w:hint="eastAsia" w:ascii="宋体" w:hAnsi="宋体" w:eastAsia="宋体" w:cs="宋体"/>
          <w:color w:val="000000"/>
          <w:sz w:val="36"/>
          <w:lang w:eastAsia="zh-Hans"/>
        </w:rPr>
      </w:pPr>
      <w:bookmarkStart w:id="41" w:name="_Toc148614974"/>
      <w:r>
        <w:rPr>
          <w:rFonts w:hint="eastAsia" w:ascii="宋体" w:hAnsi="宋体" w:eastAsia="宋体" w:cs="宋体"/>
          <w:color w:val="000000"/>
          <w:sz w:val="36"/>
          <w:lang w:eastAsia="zh-Hans"/>
        </w:rPr>
        <w:t>项目功能要求</w:t>
      </w:r>
      <w:bookmarkEnd w:id="41"/>
    </w:p>
    <w:p w14:paraId="1B037204">
      <w:pPr>
        <w:pStyle w:val="80"/>
        <w:spacing w:line="360" w:lineRule="auto"/>
        <w:ind w:firstLine="420" w:firstLineChars="0"/>
        <w:rPr>
          <w:rFonts w:hint="eastAsia" w:ascii="宋体" w:hAnsi="宋体"/>
          <w:color w:val="000000"/>
        </w:rPr>
      </w:pPr>
      <w:r>
        <w:rPr>
          <w:rFonts w:hint="eastAsia" w:ascii="宋体" w:hAnsi="宋体"/>
          <w:color w:val="000000"/>
        </w:rPr>
        <w:t>卖方应根据本章节的要求提供硬件配置方案，包括但不限于规格参数、规格要求、绿色节能等。</w:t>
      </w:r>
    </w:p>
    <w:p w14:paraId="6E39C7B6">
      <w:pPr>
        <w:pStyle w:val="3"/>
        <w:numPr>
          <w:ilvl w:val="1"/>
          <w:numId w:val="1"/>
        </w:numPr>
        <w:spacing w:before="100" w:beforeAutospacing="1" w:after="100" w:afterAutospacing="1" w:line="360" w:lineRule="auto"/>
        <w:rPr>
          <w:rFonts w:hint="eastAsia" w:ascii="宋体" w:hAnsi="宋体" w:eastAsia="宋体" w:cs="宋体"/>
          <w:color w:val="000000"/>
          <w:kern w:val="0"/>
          <w:sz w:val="30"/>
          <w:szCs w:val="20"/>
        </w:rPr>
      </w:pPr>
      <w:bookmarkStart w:id="42" w:name="_Toc248386557"/>
      <w:r>
        <w:rPr>
          <w:rFonts w:hint="eastAsia" w:ascii="宋体" w:hAnsi="宋体" w:eastAsia="宋体" w:cs="宋体"/>
          <w:color w:val="000000"/>
          <w:kern w:val="0"/>
          <w:sz w:val="30"/>
          <w:szCs w:val="20"/>
        </w:rPr>
        <w:t>具身智能产品配套设备要求</w:t>
      </w:r>
      <w:bookmarkEnd w:id="42"/>
    </w:p>
    <w:p w14:paraId="39AF7D2A">
      <w:pPr>
        <w:pStyle w:val="80"/>
        <w:spacing w:line="360" w:lineRule="auto"/>
        <w:ind w:firstLine="420" w:firstLineChars="0"/>
        <w:rPr>
          <w:rFonts w:hint="eastAsia" w:ascii="宋体" w:hAnsi="宋体" w:cs="宋体"/>
          <w:color w:val="000000"/>
        </w:rPr>
      </w:pPr>
      <w:r>
        <w:rPr>
          <w:rFonts w:hint="eastAsia" w:ascii="宋体" w:hAnsi="宋体" w:cs="宋体"/>
          <w:color w:val="000000"/>
        </w:rPr>
        <w:t>本章节所列设备为本次采购的核心内容。卖方应保证所提供的设备在功能能力、产品性能、技术指标等方面满足本规范的要求。</w:t>
      </w:r>
    </w:p>
    <w:p w14:paraId="1C618B67">
      <w:pPr>
        <w:pStyle w:val="6"/>
        <w:spacing w:before="240" w:after="240" w:line="240" w:lineRule="auto"/>
        <w:rPr>
          <w:rFonts w:hint="eastAsia" w:ascii="宋体" w:hAnsi="宋体" w:eastAsia="宋体" w:cs="宋体"/>
          <w:color w:val="000000"/>
          <w:sz w:val="23"/>
        </w:rPr>
      </w:pPr>
      <w:r>
        <w:rPr>
          <w:rFonts w:hint="eastAsia" w:ascii="宋体" w:hAnsi="宋体" w:eastAsia="宋体" w:cs="宋体"/>
          <w:color w:val="0F1115"/>
          <w:shd w:val="clear" w:color="auto" w:fill="FFFFFF"/>
        </w:rPr>
        <w:t>3.1.1. 小型人形机器人-教育应用型</w:t>
      </w:r>
    </w:p>
    <w:p w14:paraId="652DAB68">
      <w:pPr>
        <w:pStyle w:val="80"/>
        <w:spacing w:line="360" w:lineRule="auto"/>
        <w:ind w:firstLine="420" w:firstLineChars="0"/>
        <w:rPr>
          <w:rFonts w:hint="eastAsia" w:ascii="宋体" w:hAnsi="宋体" w:cs="宋体"/>
        </w:rPr>
      </w:pPr>
      <w:r>
        <w:rPr>
          <w:rFonts w:hint="eastAsia" w:ascii="宋体" w:hAnsi="宋体" w:cs="宋体"/>
        </w:rPr>
        <w:t>该型号主要用于机器人教育、科研开发及家庭陪伴场景，预估数量3台。其规格参数要求如下：</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2"/>
        <w:gridCol w:w="2160"/>
        <w:gridCol w:w="4879"/>
      </w:tblGrid>
      <w:tr w14:paraId="07A37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14:paraId="2415AF71">
            <w:pPr>
              <w:spacing w:line="400" w:lineRule="auto"/>
              <w:ind w:firstLine="460"/>
              <w:rPr>
                <w:rFonts w:hint="eastAsia"/>
                <w:b w:val="0"/>
                <w:bCs w:val="0"/>
                <w:color w:val="auto"/>
                <w:sz w:val="23"/>
              </w:rPr>
            </w:pPr>
            <w:r>
              <w:rPr>
                <w:b w:val="0"/>
                <w:bCs w:val="0"/>
                <w:color w:val="auto"/>
                <w:sz w:val="23"/>
              </w:rPr>
              <w:t>序号</w:t>
            </w:r>
          </w:p>
        </w:tc>
        <w:tc>
          <w:tcPr>
            <w:tcW w:w="2160" w:type="dxa"/>
          </w:tcPr>
          <w:p w14:paraId="6EF842C9">
            <w:pPr>
              <w:spacing w:line="400" w:lineRule="auto"/>
              <w:ind w:firstLine="460"/>
              <w:rPr>
                <w:rFonts w:hint="eastAsia"/>
                <w:b w:val="0"/>
                <w:bCs w:val="0"/>
                <w:color w:val="auto"/>
                <w:sz w:val="23"/>
              </w:rPr>
            </w:pPr>
            <w:r>
              <w:rPr>
                <w:b w:val="0"/>
                <w:bCs w:val="0"/>
                <w:color w:val="auto"/>
                <w:sz w:val="23"/>
              </w:rPr>
              <w:t>要求类型</w:t>
            </w:r>
          </w:p>
        </w:tc>
        <w:tc>
          <w:tcPr>
            <w:tcW w:w="4879" w:type="dxa"/>
          </w:tcPr>
          <w:p w14:paraId="452716D3">
            <w:pPr>
              <w:spacing w:line="400" w:lineRule="auto"/>
              <w:ind w:firstLine="460"/>
              <w:rPr>
                <w:rFonts w:hint="eastAsia"/>
                <w:b w:val="0"/>
                <w:bCs w:val="0"/>
                <w:color w:val="auto"/>
                <w:sz w:val="23"/>
              </w:rPr>
            </w:pPr>
            <w:r>
              <w:rPr>
                <w:b w:val="0"/>
                <w:bCs w:val="0"/>
                <w:color w:val="auto"/>
                <w:sz w:val="23"/>
              </w:rPr>
              <w:t>规格参数要求</w:t>
            </w:r>
          </w:p>
        </w:tc>
      </w:tr>
      <w:tr w14:paraId="30AAA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14:paraId="24E31300">
            <w:pPr>
              <w:spacing w:line="400" w:lineRule="auto"/>
              <w:ind w:firstLine="460"/>
              <w:rPr>
                <w:rFonts w:hint="eastAsia"/>
                <w:b w:val="0"/>
                <w:bCs w:val="0"/>
                <w:color w:val="auto"/>
                <w:sz w:val="23"/>
              </w:rPr>
            </w:pPr>
            <w:r>
              <w:rPr>
                <w:b w:val="0"/>
                <w:bCs w:val="0"/>
                <w:color w:val="auto"/>
                <w:sz w:val="23"/>
              </w:rPr>
              <w:t>1</w:t>
            </w:r>
          </w:p>
        </w:tc>
        <w:tc>
          <w:tcPr>
            <w:tcW w:w="2160" w:type="dxa"/>
          </w:tcPr>
          <w:p w14:paraId="365CA51E">
            <w:pPr>
              <w:spacing w:line="400" w:lineRule="auto"/>
              <w:ind w:firstLine="460"/>
              <w:rPr>
                <w:rFonts w:hint="eastAsia"/>
                <w:b w:val="0"/>
                <w:bCs w:val="0"/>
                <w:color w:val="auto"/>
                <w:sz w:val="23"/>
              </w:rPr>
            </w:pPr>
            <w:r>
              <w:rPr>
                <w:b w:val="0"/>
                <w:bCs w:val="0"/>
                <w:color w:val="auto"/>
                <w:sz w:val="23"/>
              </w:rPr>
              <w:t>本体参数</w:t>
            </w:r>
          </w:p>
        </w:tc>
        <w:tc>
          <w:tcPr>
            <w:tcW w:w="4879" w:type="dxa"/>
          </w:tcPr>
          <w:p w14:paraId="1B3739A1">
            <w:pPr>
              <w:spacing w:line="400" w:lineRule="auto"/>
              <w:ind w:firstLine="462"/>
              <w:rPr>
                <w:rFonts w:hint="eastAsia"/>
                <w:b w:val="0"/>
                <w:bCs w:val="0"/>
                <w:color w:val="auto"/>
                <w:sz w:val="23"/>
              </w:rPr>
            </w:pPr>
            <w:r>
              <w:rPr>
                <w:b w:val="0"/>
                <w:bCs w:val="0"/>
                <w:color w:val="auto"/>
                <w:sz w:val="23"/>
              </w:rPr>
              <w:t>身高</w:t>
            </w:r>
            <w:r>
              <w:rPr>
                <w:rFonts w:hint="eastAsia"/>
                <w:b w:val="0"/>
                <w:bCs w:val="0"/>
                <w:color w:val="auto"/>
                <w:sz w:val="23"/>
              </w:rPr>
              <w:t>小于1.3</w:t>
            </w:r>
            <w:r>
              <w:rPr>
                <w:b w:val="0"/>
                <w:bCs w:val="0"/>
                <w:color w:val="auto"/>
                <w:sz w:val="23"/>
              </w:rPr>
              <w:t>m，</w:t>
            </w:r>
            <w:r>
              <w:rPr>
                <w:rFonts w:hint="eastAsia"/>
                <w:b w:val="0"/>
                <w:bCs w:val="0"/>
                <w:color w:val="auto"/>
                <w:sz w:val="23"/>
              </w:rPr>
              <w:t>带电池</w:t>
            </w:r>
            <w:r>
              <w:rPr>
                <w:b w:val="0"/>
                <w:bCs w:val="0"/>
                <w:color w:val="auto"/>
                <w:sz w:val="23"/>
              </w:rPr>
              <w:t>重量</w:t>
            </w:r>
            <w:r>
              <w:rPr>
                <w:rFonts w:hint="eastAsia"/>
                <w:b w:val="0"/>
                <w:bCs w:val="0"/>
                <w:color w:val="auto"/>
                <w:sz w:val="23"/>
              </w:rPr>
              <w:t>不大于</w:t>
            </w:r>
            <w:r>
              <w:rPr>
                <w:b w:val="0"/>
                <w:bCs w:val="0"/>
                <w:color w:val="auto"/>
                <w:sz w:val="23"/>
              </w:rPr>
              <w:t>2</w:t>
            </w:r>
            <w:r>
              <w:rPr>
                <w:rFonts w:hint="eastAsia"/>
                <w:b w:val="0"/>
                <w:bCs w:val="0"/>
                <w:color w:val="auto"/>
                <w:sz w:val="23"/>
              </w:rPr>
              <w:t>6</w:t>
            </w:r>
            <w:r>
              <w:rPr>
                <w:b w:val="0"/>
                <w:bCs w:val="0"/>
                <w:color w:val="auto"/>
                <w:sz w:val="23"/>
              </w:rPr>
              <w:t>kg。</w:t>
            </w:r>
            <w:r>
              <w:rPr>
                <w:rFonts w:hint="eastAsia"/>
                <w:b w:val="0"/>
                <w:bCs w:val="0"/>
                <w:color w:val="auto"/>
                <w:sz w:val="23"/>
              </w:rPr>
              <w:t>续航：约60min。</w:t>
            </w:r>
          </w:p>
        </w:tc>
      </w:tr>
      <w:tr w14:paraId="7745D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14:paraId="1D8E0CC7">
            <w:pPr>
              <w:spacing w:line="400" w:lineRule="auto"/>
              <w:ind w:firstLine="460"/>
              <w:rPr>
                <w:rFonts w:hint="eastAsia"/>
                <w:b w:val="0"/>
                <w:bCs w:val="0"/>
                <w:color w:val="auto"/>
                <w:sz w:val="23"/>
              </w:rPr>
            </w:pPr>
            <w:r>
              <w:rPr>
                <w:b w:val="0"/>
                <w:bCs w:val="0"/>
                <w:color w:val="auto"/>
                <w:sz w:val="23"/>
              </w:rPr>
              <w:t>2</w:t>
            </w:r>
          </w:p>
        </w:tc>
        <w:tc>
          <w:tcPr>
            <w:tcW w:w="2160" w:type="dxa"/>
          </w:tcPr>
          <w:p w14:paraId="6D8CF8B2">
            <w:pPr>
              <w:spacing w:line="400" w:lineRule="auto"/>
              <w:ind w:firstLine="460"/>
              <w:rPr>
                <w:rFonts w:hint="eastAsia"/>
                <w:b w:val="0"/>
                <w:bCs w:val="0"/>
                <w:color w:val="auto"/>
                <w:sz w:val="23"/>
              </w:rPr>
            </w:pPr>
            <w:r>
              <w:rPr>
                <w:b w:val="0"/>
                <w:bCs w:val="0"/>
                <w:color w:val="auto"/>
                <w:sz w:val="23"/>
              </w:rPr>
              <w:t>自由度</w:t>
            </w:r>
          </w:p>
        </w:tc>
        <w:tc>
          <w:tcPr>
            <w:tcW w:w="4879" w:type="dxa"/>
          </w:tcPr>
          <w:p w14:paraId="542DACAA">
            <w:pPr>
              <w:spacing w:line="400" w:lineRule="auto"/>
              <w:ind w:firstLine="462"/>
              <w:rPr>
                <w:rFonts w:hint="eastAsia"/>
                <w:b w:val="0"/>
                <w:bCs w:val="0"/>
                <w:color w:val="auto"/>
                <w:sz w:val="23"/>
              </w:rPr>
            </w:pPr>
            <w:r>
              <w:rPr>
                <w:rFonts w:hint="eastAsia"/>
                <w:b w:val="0"/>
                <w:bCs w:val="0"/>
                <w:color w:val="auto"/>
                <w:sz w:val="23"/>
              </w:rPr>
              <w:t>总自由度（关节电机）：不小于24；单腿自由度：不小于6个；腰部自由度：不小于2个；单手臂自由度：不小于5个。</w:t>
            </w:r>
          </w:p>
        </w:tc>
      </w:tr>
      <w:tr w14:paraId="18B8A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14:paraId="4CE66A7E">
            <w:pPr>
              <w:spacing w:line="400" w:lineRule="auto"/>
              <w:ind w:firstLine="460"/>
              <w:rPr>
                <w:rFonts w:hint="eastAsia"/>
                <w:b w:val="0"/>
                <w:bCs w:val="0"/>
                <w:color w:val="auto"/>
                <w:sz w:val="23"/>
              </w:rPr>
            </w:pPr>
            <w:r>
              <w:rPr>
                <w:b w:val="0"/>
                <w:bCs w:val="0"/>
                <w:color w:val="auto"/>
                <w:sz w:val="23"/>
              </w:rPr>
              <w:t>3</w:t>
            </w:r>
          </w:p>
        </w:tc>
        <w:tc>
          <w:tcPr>
            <w:tcW w:w="2160" w:type="dxa"/>
          </w:tcPr>
          <w:p w14:paraId="3E905298">
            <w:pPr>
              <w:spacing w:line="400" w:lineRule="auto"/>
              <w:ind w:firstLine="460"/>
              <w:rPr>
                <w:rFonts w:hint="eastAsia"/>
                <w:b w:val="0"/>
                <w:bCs w:val="0"/>
                <w:color w:val="auto"/>
                <w:sz w:val="23"/>
              </w:rPr>
            </w:pPr>
            <w:r>
              <w:rPr>
                <w:b w:val="0"/>
                <w:bCs w:val="0"/>
                <w:color w:val="auto"/>
                <w:sz w:val="23"/>
              </w:rPr>
              <w:t>运动性能</w:t>
            </w:r>
          </w:p>
        </w:tc>
        <w:tc>
          <w:tcPr>
            <w:tcW w:w="4879" w:type="dxa"/>
          </w:tcPr>
          <w:p w14:paraId="41BD5D7F">
            <w:pPr>
              <w:spacing w:line="400" w:lineRule="auto"/>
              <w:ind w:firstLine="460"/>
              <w:rPr>
                <w:rFonts w:hint="eastAsia"/>
                <w:b w:val="0"/>
                <w:bCs w:val="0"/>
                <w:color w:val="auto"/>
                <w:sz w:val="23"/>
              </w:rPr>
            </w:pPr>
            <w:r>
              <w:rPr>
                <w:b w:val="0"/>
                <w:bCs w:val="0"/>
                <w:color w:val="auto"/>
                <w:sz w:val="23"/>
              </w:rPr>
              <w:t>手臂最大负载：</w:t>
            </w:r>
            <w:r>
              <w:rPr>
                <w:rFonts w:hint="eastAsia"/>
                <w:b w:val="0"/>
                <w:bCs w:val="0"/>
                <w:color w:val="auto"/>
                <w:sz w:val="23"/>
              </w:rPr>
              <w:t>不小于2</w:t>
            </w:r>
            <w:r>
              <w:rPr>
                <w:b w:val="0"/>
                <w:bCs w:val="0"/>
                <w:color w:val="auto"/>
                <w:sz w:val="23"/>
              </w:rPr>
              <w:t>kg；小腿+大腿长度：</w:t>
            </w:r>
            <w:r>
              <w:rPr>
                <w:rFonts w:hint="eastAsia"/>
                <w:b w:val="0"/>
                <w:bCs w:val="0"/>
                <w:color w:val="auto"/>
                <w:sz w:val="23"/>
              </w:rPr>
              <w:t>不小于</w:t>
            </w:r>
            <w:r>
              <w:rPr>
                <w:b w:val="0"/>
                <w:bCs w:val="0"/>
                <w:color w:val="auto"/>
                <w:sz w:val="23"/>
              </w:rPr>
              <w:t>0.6m；手臂臂展：</w:t>
            </w:r>
            <w:r>
              <w:rPr>
                <w:rFonts w:hint="eastAsia"/>
                <w:b w:val="0"/>
                <w:bCs w:val="0"/>
                <w:color w:val="auto"/>
                <w:sz w:val="23"/>
              </w:rPr>
              <w:t>不大于</w:t>
            </w:r>
            <w:r>
              <w:rPr>
                <w:b w:val="0"/>
                <w:bCs w:val="0"/>
                <w:color w:val="auto"/>
                <w:sz w:val="23"/>
              </w:rPr>
              <w:t>0.45m。</w:t>
            </w:r>
          </w:p>
        </w:tc>
      </w:tr>
      <w:tr w14:paraId="373EA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14:paraId="7EFFD070">
            <w:pPr>
              <w:spacing w:line="400" w:lineRule="auto"/>
              <w:ind w:firstLine="460"/>
              <w:rPr>
                <w:rFonts w:hint="eastAsia"/>
                <w:b w:val="0"/>
                <w:bCs w:val="0"/>
                <w:color w:val="auto"/>
                <w:sz w:val="23"/>
              </w:rPr>
            </w:pPr>
            <w:r>
              <w:rPr>
                <w:b w:val="0"/>
                <w:bCs w:val="0"/>
                <w:color w:val="auto"/>
                <w:sz w:val="23"/>
              </w:rPr>
              <w:t>4</w:t>
            </w:r>
          </w:p>
        </w:tc>
        <w:tc>
          <w:tcPr>
            <w:tcW w:w="2160" w:type="dxa"/>
          </w:tcPr>
          <w:p w14:paraId="36EC5631">
            <w:pPr>
              <w:spacing w:line="400" w:lineRule="auto"/>
              <w:ind w:firstLine="460"/>
              <w:rPr>
                <w:rFonts w:hint="eastAsia"/>
                <w:b w:val="0"/>
                <w:bCs w:val="0"/>
                <w:color w:val="auto"/>
                <w:sz w:val="23"/>
              </w:rPr>
            </w:pPr>
            <w:r>
              <w:rPr>
                <w:b w:val="0"/>
                <w:bCs w:val="0"/>
                <w:color w:val="auto"/>
                <w:sz w:val="23"/>
              </w:rPr>
              <w:t>传感器配置</w:t>
            </w:r>
          </w:p>
        </w:tc>
        <w:tc>
          <w:tcPr>
            <w:tcW w:w="4879" w:type="dxa"/>
          </w:tcPr>
          <w:p w14:paraId="23B3793C">
            <w:pPr>
              <w:spacing w:line="400" w:lineRule="auto"/>
              <w:ind w:firstLine="460"/>
              <w:rPr>
                <w:rFonts w:hint="eastAsia"/>
                <w:b w:val="0"/>
                <w:bCs w:val="0"/>
                <w:color w:val="auto"/>
                <w:sz w:val="23"/>
              </w:rPr>
            </w:pPr>
            <w:r>
              <w:rPr>
                <w:rFonts w:hint="eastAsia"/>
                <w:b w:val="0"/>
                <w:bCs w:val="0"/>
                <w:color w:val="auto"/>
                <w:sz w:val="23"/>
              </w:rPr>
              <w:t>双目相机、麦克风阵列、扬声器。</w:t>
            </w:r>
          </w:p>
        </w:tc>
      </w:tr>
      <w:tr w14:paraId="69103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14:paraId="79B43AA4">
            <w:pPr>
              <w:spacing w:line="400" w:lineRule="auto"/>
              <w:ind w:firstLine="460"/>
              <w:rPr>
                <w:rFonts w:hint="eastAsia"/>
                <w:b w:val="0"/>
                <w:bCs w:val="0"/>
                <w:color w:val="auto"/>
                <w:sz w:val="23"/>
              </w:rPr>
            </w:pPr>
            <w:r>
              <w:rPr>
                <w:b w:val="0"/>
                <w:bCs w:val="0"/>
                <w:color w:val="auto"/>
                <w:sz w:val="23"/>
              </w:rPr>
              <w:t>5</w:t>
            </w:r>
          </w:p>
        </w:tc>
        <w:tc>
          <w:tcPr>
            <w:tcW w:w="2160" w:type="dxa"/>
          </w:tcPr>
          <w:p w14:paraId="123AA3C3">
            <w:pPr>
              <w:spacing w:line="400" w:lineRule="auto"/>
              <w:ind w:firstLine="460"/>
              <w:rPr>
                <w:rFonts w:hint="eastAsia"/>
                <w:b w:val="0"/>
                <w:bCs w:val="0"/>
                <w:color w:val="auto"/>
                <w:sz w:val="23"/>
              </w:rPr>
            </w:pPr>
            <w:r>
              <w:rPr>
                <w:b w:val="0"/>
                <w:bCs w:val="0"/>
                <w:color w:val="auto"/>
                <w:sz w:val="23"/>
              </w:rPr>
              <w:t>控制能力</w:t>
            </w:r>
          </w:p>
        </w:tc>
        <w:tc>
          <w:tcPr>
            <w:tcW w:w="4879" w:type="dxa"/>
          </w:tcPr>
          <w:p w14:paraId="6EA91ED1">
            <w:pPr>
              <w:spacing w:line="400" w:lineRule="auto"/>
              <w:ind w:firstLine="460"/>
              <w:rPr>
                <w:rFonts w:hint="eastAsia"/>
                <w:b w:val="0"/>
                <w:bCs w:val="0"/>
                <w:color w:val="auto"/>
                <w:sz w:val="23"/>
              </w:rPr>
            </w:pPr>
            <w:r>
              <w:rPr>
                <w:rFonts w:hint="eastAsia"/>
                <w:b w:val="0"/>
                <w:bCs w:val="0"/>
                <w:color w:val="auto"/>
                <w:sz w:val="23"/>
              </w:rPr>
              <w:t>支持二次开发，提供机器人模型和仿真接口，支持 Issac sim 等仿真环境。</w:t>
            </w:r>
          </w:p>
        </w:tc>
      </w:tr>
      <w:tr w14:paraId="26901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52" w:type="dxa"/>
          </w:tcPr>
          <w:p w14:paraId="2DA2432F">
            <w:pPr>
              <w:spacing w:line="400" w:lineRule="auto"/>
              <w:ind w:firstLine="460"/>
              <w:rPr>
                <w:rFonts w:hint="eastAsia"/>
                <w:b w:val="0"/>
                <w:bCs w:val="0"/>
                <w:color w:val="auto"/>
                <w:sz w:val="23"/>
              </w:rPr>
            </w:pPr>
            <w:r>
              <w:rPr>
                <w:b w:val="0"/>
                <w:bCs w:val="0"/>
                <w:color w:val="auto"/>
                <w:sz w:val="23"/>
              </w:rPr>
              <w:t>6</w:t>
            </w:r>
          </w:p>
        </w:tc>
        <w:tc>
          <w:tcPr>
            <w:tcW w:w="2160" w:type="dxa"/>
          </w:tcPr>
          <w:p w14:paraId="44F827C2">
            <w:pPr>
              <w:spacing w:line="400" w:lineRule="auto"/>
              <w:ind w:firstLine="460"/>
              <w:rPr>
                <w:rFonts w:hint="eastAsia"/>
                <w:b w:val="0"/>
                <w:bCs w:val="0"/>
                <w:color w:val="auto"/>
                <w:sz w:val="23"/>
              </w:rPr>
            </w:pPr>
            <w:r>
              <w:rPr>
                <w:b w:val="0"/>
                <w:bCs w:val="0"/>
                <w:color w:val="auto"/>
                <w:sz w:val="23"/>
              </w:rPr>
              <w:t>标配功能</w:t>
            </w:r>
          </w:p>
        </w:tc>
        <w:tc>
          <w:tcPr>
            <w:tcW w:w="4879" w:type="dxa"/>
          </w:tcPr>
          <w:p w14:paraId="7F1A1477">
            <w:pPr>
              <w:spacing w:line="400" w:lineRule="auto"/>
              <w:ind w:firstLine="462"/>
              <w:rPr>
                <w:rFonts w:hint="eastAsia"/>
                <w:b w:val="0"/>
                <w:bCs w:val="0"/>
                <w:color w:val="auto"/>
                <w:sz w:val="23"/>
              </w:rPr>
            </w:pPr>
            <w:r>
              <w:rPr>
                <w:rFonts w:hint="eastAsia"/>
                <w:b w:val="0"/>
                <w:bCs w:val="0"/>
                <w:color w:val="auto"/>
                <w:sz w:val="23"/>
              </w:rPr>
              <w:t>具备</w:t>
            </w:r>
            <w:r>
              <w:rPr>
                <w:b w:val="0"/>
                <w:bCs w:val="0"/>
                <w:color w:val="auto"/>
                <w:sz w:val="23"/>
              </w:rPr>
              <w:t>超大关节运动空间：</w:t>
            </w:r>
            <w:r>
              <w:rPr>
                <w:rFonts w:hint="eastAsia"/>
                <w:b w:val="0"/>
                <w:bCs w:val="0"/>
                <w:color w:val="auto"/>
                <w:sz w:val="23"/>
              </w:rPr>
              <w:t>腰部关节：Y±145°、R±25°，膝关节：-10~+145°，髋关节：Y±155°、P-165~+145°、R-50~+100°</w:t>
            </w:r>
            <w:r>
              <w:rPr>
                <w:b w:val="0"/>
                <w:bCs w:val="0"/>
                <w:color w:val="auto"/>
                <w:sz w:val="23"/>
              </w:rPr>
              <w:t>；</w:t>
            </w:r>
            <w:r>
              <w:rPr>
                <w:rFonts w:hint="eastAsia"/>
                <w:b w:val="0"/>
                <w:bCs w:val="0"/>
                <w:color w:val="auto"/>
                <w:sz w:val="23"/>
              </w:rPr>
              <w:t>全关节中空内走线</w:t>
            </w:r>
            <w:r>
              <w:rPr>
                <w:b w:val="0"/>
                <w:bCs w:val="0"/>
                <w:color w:val="auto"/>
                <w:sz w:val="23"/>
              </w:rPr>
              <w:t>；关节编码器为双编码器；散热系统：局部风冷散热。</w:t>
            </w:r>
          </w:p>
        </w:tc>
      </w:tr>
      <w:tr w14:paraId="5C832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14:paraId="0082F0A1">
            <w:pPr>
              <w:spacing w:line="400" w:lineRule="auto"/>
              <w:ind w:firstLine="460"/>
              <w:rPr>
                <w:rFonts w:hint="eastAsia"/>
                <w:b w:val="0"/>
                <w:bCs w:val="0"/>
                <w:color w:val="auto"/>
                <w:sz w:val="23"/>
              </w:rPr>
            </w:pPr>
            <w:r>
              <w:rPr>
                <w:b w:val="0"/>
                <w:bCs w:val="0"/>
                <w:color w:val="auto"/>
                <w:sz w:val="23"/>
              </w:rPr>
              <w:t>7</w:t>
            </w:r>
          </w:p>
        </w:tc>
        <w:tc>
          <w:tcPr>
            <w:tcW w:w="2160" w:type="dxa"/>
          </w:tcPr>
          <w:p w14:paraId="3A56107A">
            <w:pPr>
              <w:spacing w:line="400" w:lineRule="auto"/>
              <w:ind w:firstLine="460"/>
              <w:rPr>
                <w:rFonts w:hint="eastAsia"/>
                <w:b w:val="0"/>
                <w:bCs w:val="0"/>
                <w:color w:val="auto"/>
                <w:sz w:val="23"/>
              </w:rPr>
            </w:pPr>
            <w:r>
              <w:rPr>
                <w:b w:val="0"/>
                <w:bCs w:val="0"/>
                <w:color w:val="auto"/>
                <w:sz w:val="23"/>
              </w:rPr>
              <w:t>算力配置</w:t>
            </w:r>
          </w:p>
        </w:tc>
        <w:tc>
          <w:tcPr>
            <w:tcW w:w="4879" w:type="dxa"/>
          </w:tcPr>
          <w:p w14:paraId="12C2F6CF">
            <w:pPr>
              <w:spacing w:line="400" w:lineRule="auto"/>
              <w:ind w:firstLine="462"/>
              <w:rPr>
                <w:rFonts w:hint="eastAsia"/>
                <w:b w:val="0"/>
                <w:bCs w:val="0"/>
                <w:color w:val="auto"/>
                <w:sz w:val="23"/>
              </w:rPr>
            </w:pPr>
            <w:r>
              <w:rPr>
                <w:rFonts w:hint="eastAsia"/>
                <w:b w:val="0"/>
                <w:bCs w:val="0"/>
                <w:color w:val="auto"/>
                <w:sz w:val="23"/>
              </w:rPr>
              <w:t>配置不小于100Tops拓展坞，提供AI算法技术支持。</w:t>
            </w:r>
          </w:p>
        </w:tc>
      </w:tr>
    </w:tbl>
    <w:p w14:paraId="2E096580">
      <w:pPr>
        <w:pStyle w:val="6"/>
        <w:spacing w:before="240" w:after="240" w:line="240" w:lineRule="auto"/>
        <w:rPr>
          <w:rFonts w:hint="eastAsia" w:ascii="宋体" w:hAnsi="宋体" w:eastAsia="宋体" w:cs="宋体"/>
          <w:color w:val="000000"/>
          <w:sz w:val="23"/>
        </w:rPr>
      </w:pPr>
      <w:r>
        <w:rPr>
          <w:rFonts w:hint="eastAsia" w:ascii="宋体" w:hAnsi="宋体" w:eastAsia="宋体" w:cs="宋体"/>
          <w:color w:val="0F1115"/>
          <w:shd w:val="clear" w:color="auto" w:fill="FFFFFF"/>
        </w:rPr>
        <w:t>3.1.2. 人形机器人-基础导览型</w:t>
      </w:r>
    </w:p>
    <w:p w14:paraId="3987B43F">
      <w:pPr>
        <w:pStyle w:val="80"/>
        <w:spacing w:line="360" w:lineRule="auto"/>
        <w:ind w:firstLine="420" w:firstLineChars="0"/>
        <w:rPr>
          <w:rFonts w:hint="eastAsia" w:ascii="宋体" w:hAnsi="宋体" w:cs="宋体"/>
        </w:rPr>
      </w:pPr>
      <w:r>
        <w:rPr>
          <w:rFonts w:hint="eastAsia" w:ascii="宋体" w:hAnsi="宋体" w:cs="宋体"/>
        </w:rPr>
        <w:t>该型号主要用于展厅导览、语音交互及基础动作演示场景，腰部自由度较低，不适用于复杂舞蹈场景，预估数量1台。其规格参数要求如下：</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2089"/>
        <w:gridCol w:w="4924"/>
      </w:tblGrid>
      <w:tr w14:paraId="6F5B6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1" w:type="dxa"/>
          </w:tcPr>
          <w:p w14:paraId="261A9913">
            <w:pPr>
              <w:spacing w:line="400" w:lineRule="auto"/>
              <w:ind w:firstLine="460"/>
              <w:rPr>
                <w:rFonts w:hint="eastAsia"/>
                <w:color w:val="000000"/>
                <w:sz w:val="23"/>
              </w:rPr>
            </w:pPr>
            <w:r>
              <w:rPr>
                <w:color w:val="000000"/>
                <w:sz w:val="23"/>
              </w:rPr>
              <w:t>序号</w:t>
            </w:r>
          </w:p>
        </w:tc>
        <w:tc>
          <w:tcPr>
            <w:tcW w:w="2089" w:type="dxa"/>
          </w:tcPr>
          <w:p w14:paraId="656F2C9E">
            <w:pPr>
              <w:spacing w:line="400" w:lineRule="auto"/>
              <w:ind w:firstLine="460"/>
              <w:rPr>
                <w:rFonts w:hint="eastAsia"/>
                <w:color w:val="000000"/>
                <w:sz w:val="23"/>
              </w:rPr>
            </w:pPr>
            <w:r>
              <w:rPr>
                <w:color w:val="000000"/>
                <w:sz w:val="23"/>
              </w:rPr>
              <w:t>要求类型</w:t>
            </w:r>
          </w:p>
        </w:tc>
        <w:tc>
          <w:tcPr>
            <w:tcW w:w="4924" w:type="dxa"/>
          </w:tcPr>
          <w:p w14:paraId="750F8482">
            <w:pPr>
              <w:spacing w:line="400" w:lineRule="auto"/>
              <w:ind w:firstLine="460"/>
              <w:rPr>
                <w:rFonts w:hint="eastAsia"/>
                <w:color w:val="000000"/>
                <w:sz w:val="23"/>
              </w:rPr>
            </w:pPr>
            <w:r>
              <w:rPr>
                <w:color w:val="000000"/>
                <w:sz w:val="23"/>
              </w:rPr>
              <w:t>规格参数要求</w:t>
            </w:r>
          </w:p>
        </w:tc>
      </w:tr>
      <w:tr w14:paraId="11EC6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2116A8FD">
            <w:pPr>
              <w:spacing w:line="400" w:lineRule="auto"/>
              <w:ind w:firstLine="460"/>
              <w:rPr>
                <w:rFonts w:hint="eastAsia"/>
                <w:color w:val="000000"/>
                <w:sz w:val="23"/>
              </w:rPr>
            </w:pPr>
            <w:r>
              <w:rPr>
                <w:color w:val="000000"/>
                <w:sz w:val="23"/>
              </w:rPr>
              <w:t>1</w:t>
            </w:r>
          </w:p>
        </w:tc>
        <w:tc>
          <w:tcPr>
            <w:tcW w:w="2089" w:type="dxa"/>
          </w:tcPr>
          <w:p w14:paraId="7D5DA72E">
            <w:pPr>
              <w:spacing w:line="400" w:lineRule="auto"/>
              <w:ind w:firstLine="460"/>
              <w:rPr>
                <w:rFonts w:hint="eastAsia"/>
                <w:color w:val="000000"/>
                <w:sz w:val="23"/>
              </w:rPr>
            </w:pPr>
            <w:r>
              <w:rPr>
                <w:color w:val="000000"/>
                <w:sz w:val="23"/>
              </w:rPr>
              <w:t>本体参数</w:t>
            </w:r>
          </w:p>
        </w:tc>
        <w:tc>
          <w:tcPr>
            <w:tcW w:w="4924" w:type="dxa"/>
          </w:tcPr>
          <w:p w14:paraId="0CE39589">
            <w:pPr>
              <w:spacing w:line="400" w:lineRule="auto"/>
              <w:ind w:firstLine="460"/>
              <w:rPr>
                <w:rFonts w:hint="eastAsia"/>
                <w:color w:val="000000"/>
                <w:sz w:val="23"/>
              </w:rPr>
            </w:pPr>
            <w:r>
              <w:rPr>
                <w:color w:val="000000"/>
                <w:sz w:val="23"/>
              </w:rPr>
              <w:t>站立尺寸：</w:t>
            </w:r>
            <w:r>
              <w:rPr>
                <w:rFonts w:hint="eastAsia"/>
                <w:color w:val="000000"/>
              </w:rPr>
              <w:t>高度大于</w:t>
            </w:r>
            <w:r>
              <w:rPr>
                <w:color w:val="000000"/>
              </w:rPr>
              <w:t>1300mm</w:t>
            </w:r>
            <w:r>
              <w:rPr>
                <w:color w:val="000000"/>
                <w:sz w:val="23"/>
              </w:rPr>
              <w:t>；折叠尺寸：</w:t>
            </w:r>
            <w:r>
              <w:rPr>
                <w:rFonts w:hint="eastAsia"/>
                <w:color w:val="000000"/>
                <w:sz w:val="23"/>
              </w:rPr>
              <w:t>高度不大于700</w:t>
            </w:r>
            <w:r>
              <w:rPr>
                <w:color w:val="000000"/>
                <w:sz w:val="23"/>
              </w:rPr>
              <w:t>mm；带电池重量</w:t>
            </w:r>
            <w:r>
              <w:rPr>
                <w:rFonts w:hint="eastAsia"/>
                <w:color w:val="000000"/>
                <w:sz w:val="23"/>
              </w:rPr>
              <w:t>不大于：</w:t>
            </w:r>
            <w:r>
              <w:rPr>
                <w:color w:val="000000"/>
                <w:sz w:val="23"/>
              </w:rPr>
              <w:t>3</w:t>
            </w:r>
            <w:r>
              <w:rPr>
                <w:rFonts w:hint="eastAsia"/>
                <w:color w:val="000000"/>
                <w:sz w:val="23"/>
              </w:rPr>
              <w:t>6</w:t>
            </w:r>
            <w:r>
              <w:rPr>
                <w:color w:val="000000"/>
                <w:sz w:val="23"/>
              </w:rPr>
              <w:t>kg。</w:t>
            </w:r>
          </w:p>
        </w:tc>
      </w:tr>
      <w:tr w14:paraId="67FB5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35FD1324">
            <w:pPr>
              <w:spacing w:line="400" w:lineRule="auto"/>
              <w:ind w:firstLine="460"/>
              <w:rPr>
                <w:rFonts w:hint="eastAsia"/>
                <w:color w:val="000000"/>
                <w:sz w:val="23"/>
              </w:rPr>
            </w:pPr>
            <w:r>
              <w:rPr>
                <w:color w:val="000000"/>
                <w:sz w:val="23"/>
              </w:rPr>
              <w:t>2</w:t>
            </w:r>
          </w:p>
        </w:tc>
        <w:tc>
          <w:tcPr>
            <w:tcW w:w="2089" w:type="dxa"/>
          </w:tcPr>
          <w:p w14:paraId="48D42E29">
            <w:pPr>
              <w:spacing w:line="400" w:lineRule="auto"/>
              <w:ind w:firstLine="460"/>
              <w:rPr>
                <w:rFonts w:hint="eastAsia"/>
                <w:color w:val="000000"/>
                <w:sz w:val="23"/>
              </w:rPr>
            </w:pPr>
            <w:r>
              <w:rPr>
                <w:color w:val="000000"/>
                <w:sz w:val="23"/>
              </w:rPr>
              <w:t>自由度</w:t>
            </w:r>
          </w:p>
        </w:tc>
        <w:tc>
          <w:tcPr>
            <w:tcW w:w="4924" w:type="dxa"/>
          </w:tcPr>
          <w:p w14:paraId="0EFBABD2">
            <w:pPr>
              <w:spacing w:line="400" w:lineRule="auto"/>
              <w:ind w:firstLine="462"/>
              <w:rPr>
                <w:rFonts w:hint="eastAsia"/>
                <w:color w:val="000000"/>
                <w:sz w:val="23"/>
              </w:rPr>
            </w:pPr>
            <w:r>
              <w:rPr>
                <w:color w:val="000000"/>
                <w:sz w:val="23"/>
              </w:rPr>
              <w:t>总自由度（关节电机）：23；单腿自由度：6个；腰部自由度：1个；单手臂自由度：5个；单手自由度可选配灵巧手和双自由度手腕。</w:t>
            </w:r>
          </w:p>
        </w:tc>
      </w:tr>
      <w:tr w14:paraId="015B3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2F6D077F">
            <w:pPr>
              <w:spacing w:line="400" w:lineRule="auto"/>
              <w:ind w:firstLine="460"/>
              <w:rPr>
                <w:rFonts w:hint="eastAsia"/>
                <w:color w:val="000000"/>
                <w:sz w:val="23"/>
              </w:rPr>
            </w:pPr>
            <w:r>
              <w:rPr>
                <w:color w:val="000000"/>
                <w:sz w:val="23"/>
              </w:rPr>
              <w:t>3</w:t>
            </w:r>
          </w:p>
        </w:tc>
        <w:tc>
          <w:tcPr>
            <w:tcW w:w="2089" w:type="dxa"/>
          </w:tcPr>
          <w:p w14:paraId="04C55B26">
            <w:pPr>
              <w:spacing w:line="400" w:lineRule="auto"/>
              <w:ind w:firstLine="460"/>
              <w:rPr>
                <w:rFonts w:hint="eastAsia"/>
                <w:color w:val="000000"/>
                <w:sz w:val="23"/>
              </w:rPr>
            </w:pPr>
            <w:r>
              <w:rPr>
                <w:color w:val="000000"/>
                <w:sz w:val="23"/>
              </w:rPr>
              <w:t>运动性能</w:t>
            </w:r>
          </w:p>
        </w:tc>
        <w:tc>
          <w:tcPr>
            <w:tcW w:w="4924" w:type="dxa"/>
          </w:tcPr>
          <w:p w14:paraId="22466346">
            <w:pPr>
              <w:spacing w:line="400" w:lineRule="auto"/>
              <w:ind w:firstLine="462"/>
              <w:rPr>
                <w:rFonts w:hint="eastAsia"/>
                <w:color w:val="000000"/>
                <w:sz w:val="23"/>
              </w:rPr>
            </w:pPr>
            <w:r>
              <w:rPr>
                <w:color w:val="000000"/>
                <w:sz w:val="23"/>
              </w:rPr>
              <w:t>膝关节最大扭矩：120N·m；手臂最大负载：3kg；小腿+大腿长度：0.6m；手臂臂展：约0.45m。</w:t>
            </w:r>
          </w:p>
        </w:tc>
      </w:tr>
      <w:tr w14:paraId="75F66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24471C3A">
            <w:pPr>
              <w:spacing w:line="400" w:lineRule="auto"/>
              <w:ind w:firstLine="460"/>
              <w:rPr>
                <w:rFonts w:hint="eastAsia"/>
                <w:color w:val="000000"/>
                <w:sz w:val="23"/>
              </w:rPr>
            </w:pPr>
            <w:r>
              <w:rPr>
                <w:color w:val="000000"/>
                <w:sz w:val="23"/>
              </w:rPr>
              <w:t>4</w:t>
            </w:r>
          </w:p>
        </w:tc>
        <w:tc>
          <w:tcPr>
            <w:tcW w:w="2089" w:type="dxa"/>
          </w:tcPr>
          <w:p w14:paraId="5712A2FA">
            <w:pPr>
              <w:spacing w:line="400" w:lineRule="auto"/>
              <w:ind w:firstLine="460"/>
              <w:rPr>
                <w:rFonts w:hint="eastAsia"/>
                <w:color w:val="000000"/>
                <w:sz w:val="23"/>
              </w:rPr>
            </w:pPr>
            <w:r>
              <w:rPr>
                <w:color w:val="000000"/>
                <w:sz w:val="23"/>
              </w:rPr>
              <w:t>标配功能</w:t>
            </w:r>
          </w:p>
        </w:tc>
        <w:tc>
          <w:tcPr>
            <w:tcW w:w="4924" w:type="dxa"/>
          </w:tcPr>
          <w:p w14:paraId="01034839">
            <w:pPr>
              <w:spacing w:line="400" w:lineRule="auto"/>
              <w:ind w:firstLine="460"/>
              <w:rPr>
                <w:rFonts w:hint="eastAsia"/>
                <w:color w:val="000000"/>
                <w:sz w:val="23"/>
              </w:rPr>
            </w:pPr>
            <w:r>
              <w:rPr>
                <w:color w:val="000000"/>
                <w:sz w:val="23"/>
              </w:rPr>
              <w:t>4麦克风阵列、5W扬声器；超大关节运动空间：腰部Z轴±155°，膝关节0~165°，髋关节P+154°/R-30~+170°/Y+158°；全关节中空内走线；关节编码器为双编码器；散热系统：局部风冷散热。</w:t>
            </w:r>
          </w:p>
        </w:tc>
      </w:tr>
      <w:tr w14:paraId="5B645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08678E80">
            <w:pPr>
              <w:spacing w:line="400" w:lineRule="auto"/>
              <w:ind w:firstLine="460"/>
              <w:rPr>
                <w:rFonts w:hint="eastAsia"/>
                <w:color w:val="000000"/>
                <w:sz w:val="23"/>
              </w:rPr>
            </w:pPr>
            <w:r>
              <w:rPr>
                <w:color w:val="000000"/>
                <w:sz w:val="23"/>
              </w:rPr>
              <w:t>5</w:t>
            </w:r>
          </w:p>
        </w:tc>
        <w:tc>
          <w:tcPr>
            <w:tcW w:w="2089" w:type="dxa"/>
          </w:tcPr>
          <w:p w14:paraId="07D28791">
            <w:pPr>
              <w:spacing w:line="400" w:lineRule="auto"/>
              <w:ind w:firstLine="460"/>
              <w:rPr>
                <w:rFonts w:hint="eastAsia"/>
                <w:color w:val="000000"/>
                <w:sz w:val="23"/>
              </w:rPr>
            </w:pPr>
            <w:r>
              <w:rPr>
                <w:color w:val="000000"/>
                <w:sz w:val="23"/>
              </w:rPr>
              <w:t>算力与感知</w:t>
            </w:r>
          </w:p>
        </w:tc>
        <w:tc>
          <w:tcPr>
            <w:tcW w:w="4924" w:type="dxa"/>
          </w:tcPr>
          <w:p w14:paraId="32A76898">
            <w:pPr>
              <w:spacing w:line="400" w:lineRule="auto"/>
              <w:ind w:firstLine="460"/>
              <w:rPr>
                <w:rFonts w:hint="eastAsia"/>
                <w:color w:val="000000"/>
                <w:sz w:val="23"/>
              </w:rPr>
            </w:pPr>
            <w:r>
              <w:rPr>
                <w:color w:val="000000"/>
                <w:sz w:val="23"/>
              </w:rPr>
              <w:t>基础算力：8核高性能CPU；具备</w:t>
            </w:r>
            <w:r>
              <w:rPr>
                <w:rFonts w:hint="eastAsia"/>
                <w:color w:val="000000"/>
                <w:sz w:val="23"/>
              </w:rPr>
              <w:t>不小于</w:t>
            </w:r>
            <w:r>
              <w:rPr>
                <w:color w:val="000000"/>
                <w:sz w:val="23"/>
              </w:rPr>
              <w:t>100 TOPS超大算力的拓展坞，含AI算法及技术支持；感知传感器：深度相机+3D激光雷达。</w:t>
            </w:r>
          </w:p>
        </w:tc>
      </w:tr>
      <w:tr w14:paraId="7E99F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34140DA9">
            <w:pPr>
              <w:spacing w:line="400" w:lineRule="auto"/>
              <w:ind w:firstLine="460"/>
              <w:rPr>
                <w:rFonts w:hint="eastAsia"/>
                <w:color w:val="000000"/>
                <w:sz w:val="23"/>
              </w:rPr>
            </w:pPr>
            <w:r>
              <w:rPr>
                <w:color w:val="000000"/>
                <w:sz w:val="23"/>
              </w:rPr>
              <w:t>6</w:t>
            </w:r>
          </w:p>
        </w:tc>
        <w:tc>
          <w:tcPr>
            <w:tcW w:w="2089" w:type="dxa"/>
          </w:tcPr>
          <w:p w14:paraId="005CD48E">
            <w:pPr>
              <w:spacing w:line="400" w:lineRule="auto"/>
              <w:ind w:firstLine="460"/>
              <w:rPr>
                <w:rFonts w:hint="eastAsia"/>
                <w:color w:val="000000"/>
                <w:sz w:val="23"/>
              </w:rPr>
            </w:pPr>
            <w:r>
              <w:rPr>
                <w:color w:val="000000"/>
                <w:sz w:val="23"/>
              </w:rPr>
              <w:t>其他</w:t>
            </w:r>
          </w:p>
        </w:tc>
        <w:tc>
          <w:tcPr>
            <w:tcW w:w="4924" w:type="dxa"/>
          </w:tcPr>
          <w:p w14:paraId="0452FBFE">
            <w:pPr>
              <w:spacing w:line="400" w:lineRule="auto"/>
              <w:ind w:firstLine="460"/>
              <w:rPr>
                <w:rFonts w:hint="eastAsia"/>
                <w:color w:val="000000"/>
                <w:sz w:val="23"/>
              </w:rPr>
            </w:pPr>
            <w:r>
              <w:rPr>
                <w:color w:val="000000"/>
                <w:sz w:val="23"/>
              </w:rPr>
              <w:t>支持智能OTA升级；支持高层和低层的二次开发；</w:t>
            </w:r>
          </w:p>
        </w:tc>
      </w:tr>
    </w:tbl>
    <w:p w14:paraId="74F6B94A">
      <w:pPr>
        <w:pStyle w:val="6"/>
        <w:spacing w:before="240" w:after="240" w:line="240" w:lineRule="auto"/>
        <w:rPr>
          <w:rFonts w:hint="eastAsia" w:ascii="宋体" w:hAnsi="宋体" w:eastAsia="宋体" w:cs="宋体"/>
          <w:color w:val="000000"/>
          <w:sz w:val="23"/>
        </w:rPr>
      </w:pPr>
      <w:r>
        <w:rPr>
          <w:rFonts w:hint="eastAsia" w:ascii="宋体" w:hAnsi="宋体" w:eastAsia="宋体" w:cs="宋体"/>
          <w:color w:val="0F1115"/>
          <w:shd w:val="clear" w:color="auto" w:fill="FFFFFF"/>
        </w:rPr>
        <w:t>3.1.3. 人形机器人-高阶动作型</w:t>
      </w:r>
    </w:p>
    <w:p w14:paraId="382F3BE7">
      <w:pPr>
        <w:pStyle w:val="80"/>
        <w:spacing w:line="360" w:lineRule="auto"/>
        <w:ind w:firstLine="420" w:firstLineChars="0"/>
        <w:rPr>
          <w:rFonts w:hint="eastAsia" w:ascii="宋体" w:hAnsi="宋体" w:cs="宋体"/>
        </w:rPr>
      </w:pPr>
      <w:r>
        <w:rPr>
          <w:rFonts w:hint="eastAsia" w:ascii="宋体" w:hAnsi="宋体" w:cs="宋体"/>
        </w:rPr>
        <w:t>该型号主要用于展厅导览、语音交互及更复杂动作的演示场景，腰部自由度较高，可执行丰富舞蹈动作，预估数量6台。其规格参数要求如下：</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2250"/>
        <w:gridCol w:w="4849"/>
      </w:tblGrid>
      <w:tr w14:paraId="0FE4D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tcPr>
          <w:p w14:paraId="0719D5AD">
            <w:pPr>
              <w:spacing w:line="400" w:lineRule="auto"/>
              <w:ind w:firstLine="460"/>
              <w:rPr>
                <w:rFonts w:hint="eastAsia"/>
                <w:color w:val="000000"/>
                <w:sz w:val="23"/>
              </w:rPr>
            </w:pPr>
            <w:r>
              <w:rPr>
                <w:color w:val="000000"/>
                <w:sz w:val="23"/>
              </w:rPr>
              <w:t>序号</w:t>
            </w:r>
          </w:p>
        </w:tc>
        <w:tc>
          <w:tcPr>
            <w:tcW w:w="2250" w:type="dxa"/>
          </w:tcPr>
          <w:p w14:paraId="05270FA3">
            <w:pPr>
              <w:spacing w:line="400" w:lineRule="auto"/>
              <w:ind w:firstLine="460"/>
              <w:rPr>
                <w:rFonts w:hint="eastAsia"/>
                <w:color w:val="000000"/>
                <w:sz w:val="23"/>
              </w:rPr>
            </w:pPr>
            <w:r>
              <w:rPr>
                <w:color w:val="000000"/>
                <w:sz w:val="23"/>
              </w:rPr>
              <w:t>要求类型</w:t>
            </w:r>
          </w:p>
        </w:tc>
        <w:tc>
          <w:tcPr>
            <w:tcW w:w="4849" w:type="dxa"/>
          </w:tcPr>
          <w:p w14:paraId="468FA61F">
            <w:pPr>
              <w:spacing w:line="400" w:lineRule="auto"/>
              <w:ind w:firstLine="460"/>
              <w:rPr>
                <w:rFonts w:hint="eastAsia"/>
                <w:color w:val="000000"/>
                <w:sz w:val="23"/>
              </w:rPr>
            </w:pPr>
            <w:r>
              <w:rPr>
                <w:color w:val="000000"/>
                <w:sz w:val="23"/>
              </w:rPr>
              <w:t>规格参数要求</w:t>
            </w:r>
          </w:p>
        </w:tc>
      </w:tr>
      <w:tr w14:paraId="064FF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tcPr>
          <w:p w14:paraId="5A51F0F3">
            <w:pPr>
              <w:spacing w:line="400" w:lineRule="auto"/>
              <w:ind w:firstLine="460"/>
              <w:rPr>
                <w:rFonts w:hint="eastAsia"/>
                <w:color w:val="000000"/>
                <w:sz w:val="23"/>
              </w:rPr>
            </w:pPr>
            <w:r>
              <w:rPr>
                <w:color w:val="000000"/>
                <w:sz w:val="23"/>
              </w:rPr>
              <w:t>1</w:t>
            </w:r>
          </w:p>
        </w:tc>
        <w:tc>
          <w:tcPr>
            <w:tcW w:w="2250" w:type="dxa"/>
          </w:tcPr>
          <w:p w14:paraId="149577F1">
            <w:pPr>
              <w:spacing w:line="400" w:lineRule="auto"/>
              <w:ind w:firstLine="460"/>
              <w:rPr>
                <w:rFonts w:hint="eastAsia"/>
                <w:color w:val="000000"/>
                <w:sz w:val="23"/>
              </w:rPr>
            </w:pPr>
            <w:r>
              <w:rPr>
                <w:color w:val="000000"/>
                <w:sz w:val="23"/>
              </w:rPr>
              <w:t>本体参数</w:t>
            </w:r>
          </w:p>
        </w:tc>
        <w:tc>
          <w:tcPr>
            <w:tcW w:w="4849" w:type="dxa"/>
          </w:tcPr>
          <w:p w14:paraId="45270DFA">
            <w:pPr>
              <w:spacing w:line="400" w:lineRule="auto"/>
              <w:ind w:firstLine="460"/>
              <w:rPr>
                <w:rFonts w:hint="eastAsia"/>
                <w:color w:val="000000"/>
                <w:sz w:val="23"/>
              </w:rPr>
            </w:pPr>
            <w:r>
              <w:rPr>
                <w:color w:val="000000"/>
                <w:sz w:val="23"/>
              </w:rPr>
              <w:t>站立尺寸：</w:t>
            </w:r>
            <w:r>
              <w:rPr>
                <w:rFonts w:hint="eastAsia"/>
                <w:color w:val="000000"/>
                <w:sz w:val="23"/>
              </w:rPr>
              <w:t>高度不小于</w:t>
            </w:r>
            <w:r>
              <w:rPr>
                <w:color w:val="000000"/>
                <w:sz w:val="23"/>
              </w:rPr>
              <w:t>1300mm；折叠尺寸：</w:t>
            </w:r>
            <w:r>
              <w:rPr>
                <w:rFonts w:hint="eastAsia"/>
                <w:color w:val="000000"/>
                <w:sz w:val="23"/>
              </w:rPr>
              <w:t>高度不大于700</w:t>
            </w:r>
            <w:r>
              <w:rPr>
                <w:color w:val="000000"/>
                <w:sz w:val="23"/>
              </w:rPr>
              <w:t>mm；带电池重量</w:t>
            </w:r>
            <w:r>
              <w:rPr>
                <w:rFonts w:hint="eastAsia"/>
                <w:color w:val="000000"/>
                <w:sz w:val="23"/>
              </w:rPr>
              <w:t>不大于：</w:t>
            </w:r>
            <w:r>
              <w:rPr>
                <w:color w:val="000000"/>
                <w:sz w:val="23"/>
              </w:rPr>
              <w:t>3</w:t>
            </w:r>
            <w:r>
              <w:rPr>
                <w:rFonts w:hint="eastAsia"/>
                <w:color w:val="000000"/>
                <w:sz w:val="23"/>
              </w:rPr>
              <w:t>6</w:t>
            </w:r>
            <w:r>
              <w:rPr>
                <w:color w:val="000000"/>
                <w:sz w:val="23"/>
              </w:rPr>
              <w:t>kg。</w:t>
            </w:r>
          </w:p>
        </w:tc>
      </w:tr>
      <w:tr w14:paraId="5D7C0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tcPr>
          <w:p w14:paraId="44BDEA87">
            <w:pPr>
              <w:spacing w:line="400" w:lineRule="auto"/>
              <w:ind w:firstLine="460"/>
              <w:rPr>
                <w:rFonts w:hint="eastAsia"/>
                <w:color w:val="000000"/>
                <w:sz w:val="23"/>
              </w:rPr>
            </w:pPr>
            <w:r>
              <w:rPr>
                <w:color w:val="000000"/>
                <w:sz w:val="23"/>
              </w:rPr>
              <w:t>2</w:t>
            </w:r>
          </w:p>
        </w:tc>
        <w:tc>
          <w:tcPr>
            <w:tcW w:w="2250" w:type="dxa"/>
          </w:tcPr>
          <w:p w14:paraId="44DB1502">
            <w:pPr>
              <w:spacing w:line="400" w:lineRule="auto"/>
              <w:ind w:firstLine="460"/>
              <w:rPr>
                <w:rFonts w:hint="eastAsia"/>
                <w:color w:val="000000"/>
                <w:sz w:val="23"/>
              </w:rPr>
            </w:pPr>
            <w:r>
              <w:rPr>
                <w:color w:val="000000"/>
                <w:sz w:val="23"/>
              </w:rPr>
              <w:t>自由度</w:t>
            </w:r>
          </w:p>
        </w:tc>
        <w:tc>
          <w:tcPr>
            <w:tcW w:w="4849" w:type="dxa"/>
          </w:tcPr>
          <w:p w14:paraId="23C1D102">
            <w:pPr>
              <w:spacing w:line="400" w:lineRule="auto"/>
              <w:ind w:firstLine="462"/>
              <w:rPr>
                <w:rFonts w:hint="eastAsia"/>
                <w:color w:val="000000"/>
                <w:sz w:val="23"/>
              </w:rPr>
            </w:pPr>
            <w:r>
              <w:rPr>
                <w:color w:val="000000"/>
                <w:sz w:val="23"/>
              </w:rPr>
              <w:t>总自由度（关节电机）：29；单腿自由度：6个；腰部自由度：3个；单手臂自由度：7个；单手自由度可选配灵巧手和双自由度手腕。</w:t>
            </w:r>
          </w:p>
        </w:tc>
      </w:tr>
      <w:tr w14:paraId="5E38E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tcPr>
          <w:p w14:paraId="7A2768F1">
            <w:pPr>
              <w:spacing w:line="400" w:lineRule="auto"/>
              <w:ind w:firstLine="460"/>
              <w:rPr>
                <w:rFonts w:hint="eastAsia"/>
                <w:color w:val="000000"/>
                <w:sz w:val="23"/>
              </w:rPr>
            </w:pPr>
            <w:r>
              <w:rPr>
                <w:color w:val="000000"/>
                <w:sz w:val="23"/>
              </w:rPr>
              <w:t>3</w:t>
            </w:r>
          </w:p>
        </w:tc>
        <w:tc>
          <w:tcPr>
            <w:tcW w:w="2250" w:type="dxa"/>
          </w:tcPr>
          <w:p w14:paraId="54F1E2FB">
            <w:pPr>
              <w:spacing w:line="400" w:lineRule="auto"/>
              <w:ind w:firstLine="460"/>
              <w:rPr>
                <w:rFonts w:hint="eastAsia"/>
                <w:color w:val="000000"/>
                <w:sz w:val="23"/>
              </w:rPr>
            </w:pPr>
            <w:r>
              <w:rPr>
                <w:color w:val="000000"/>
                <w:sz w:val="23"/>
              </w:rPr>
              <w:t>运动性能</w:t>
            </w:r>
          </w:p>
        </w:tc>
        <w:tc>
          <w:tcPr>
            <w:tcW w:w="4849" w:type="dxa"/>
          </w:tcPr>
          <w:p w14:paraId="5E9D93B8">
            <w:pPr>
              <w:spacing w:line="400" w:lineRule="auto"/>
              <w:ind w:firstLine="460"/>
              <w:rPr>
                <w:rFonts w:hint="eastAsia"/>
                <w:color w:val="000000"/>
                <w:sz w:val="23"/>
              </w:rPr>
            </w:pPr>
            <w:r>
              <w:rPr>
                <w:color w:val="000000"/>
                <w:sz w:val="23"/>
              </w:rPr>
              <w:t>膝关节最大扭矩：120N·m；手臂最大负载：3kg；小腿+大腿长度：0.6m；手臂臂展：约0.45m。</w:t>
            </w:r>
          </w:p>
        </w:tc>
      </w:tr>
      <w:tr w14:paraId="72310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tcPr>
          <w:p w14:paraId="46FDBCA6">
            <w:pPr>
              <w:spacing w:line="400" w:lineRule="auto"/>
              <w:ind w:firstLine="460"/>
              <w:rPr>
                <w:rFonts w:hint="eastAsia"/>
                <w:color w:val="000000"/>
                <w:sz w:val="23"/>
              </w:rPr>
            </w:pPr>
            <w:r>
              <w:rPr>
                <w:color w:val="000000"/>
                <w:sz w:val="23"/>
              </w:rPr>
              <w:t>4</w:t>
            </w:r>
          </w:p>
        </w:tc>
        <w:tc>
          <w:tcPr>
            <w:tcW w:w="2250" w:type="dxa"/>
          </w:tcPr>
          <w:p w14:paraId="0F3B0805">
            <w:pPr>
              <w:spacing w:line="400" w:lineRule="auto"/>
              <w:ind w:firstLine="460"/>
              <w:rPr>
                <w:rFonts w:hint="eastAsia"/>
                <w:color w:val="000000"/>
                <w:sz w:val="23"/>
              </w:rPr>
            </w:pPr>
            <w:r>
              <w:rPr>
                <w:color w:val="000000"/>
                <w:sz w:val="23"/>
              </w:rPr>
              <w:t>标配功能</w:t>
            </w:r>
          </w:p>
        </w:tc>
        <w:tc>
          <w:tcPr>
            <w:tcW w:w="4849" w:type="dxa"/>
          </w:tcPr>
          <w:p w14:paraId="66AF67E1">
            <w:pPr>
              <w:spacing w:line="400" w:lineRule="auto"/>
              <w:ind w:firstLine="460"/>
              <w:rPr>
                <w:rFonts w:hint="eastAsia"/>
                <w:color w:val="000000"/>
                <w:sz w:val="23"/>
              </w:rPr>
            </w:pPr>
            <w:r>
              <w:rPr>
                <w:color w:val="000000"/>
                <w:sz w:val="23"/>
              </w:rPr>
              <w:t>4麦克风阵列、5W扬声器；超大关节运动空间：腰部Z轴±155°，膝关节0~165°，髋关节P+154°/R-30~+170°/Y+158°；全关节中空内走线；关节编码器为双编码器；散热系统：局部风冷散热。</w:t>
            </w:r>
          </w:p>
        </w:tc>
      </w:tr>
      <w:tr w14:paraId="3E1AD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tcPr>
          <w:p w14:paraId="5E141764">
            <w:pPr>
              <w:spacing w:line="400" w:lineRule="auto"/>
              <w:ind w:firstLine="460"/>
              <w:rPr>
                <w:rFonts w:hint="eastAsia"/>
                <w:color w:val="000000"/>
                <w:sz w:val="23"/>
              </w:rPr>
            </w:pPr>
            <w:r>
              <w:rPr>
                <w:color w:val="000000"/>
                <w:sz w:val="23"/>
              </w:rPr>
              <w:t>5</w:t>
            </w:r>
          </w:p>
        </w:tc>
        <w:tc>
          <w:tcPr>
            <w:tcW w:w="2250" w:type="dxa"/>
          </w:tcPr>
          <w:p w14:paraId="43D23E34">
            <w:pPr>
              <w:spacing w:line="400" w:lineRule="auto"/>
              <w:ind w:firstLine="460"/>
              <w:rPr>
                <w:rFonts w:hint="eastAsia"/>
                <w:color w:val="000000"/>
                <w:sz w:val="23"/>
              </w:rPr>
            </w:pPr>
            <w:r>
              <w:rPr>
                <w:color w:val="000000"/>
                <w:sz w:val="23"/>
              </w:rPr>
              <w:t>算力与感知</w:t>
            </w:r>
          </w:p>
        </w:tc>
        <w:tc>
          <w:tcPr>
            <w:tcW w:w="4849" w:type="dxa"/>
          </w:tcPr>
          <w:p w14:paraId="73A939CA">
            <w:pPr>
              <w:spacing w:line="400" w:lineRule="auto"/>
              <w:ind w:firstLine="460"/>
              <w:rPr>
                <w:rFonts w:hint="eastAsia"/>
                <w:color w:val="000000"/>
                <w:sz w:val="23"/>
              </w:rPr>
            </w:pPr>
            <w:r>
              <w:rPr>
                <w:color w:val="000000"/>
                <w:sz w:val="23"/>
              </w:rPr>
              <w:t>基础算力：8核高性能CPU；具备</w:t>
            </w:r>
            <w:r>
              <w:rPr>
                <w:rFonts w:hint="eastAsia"/>
                <w:color w:val="000000"/>
                <w:sz w:val="23"/>
              </w:rPr>
              <w:t>不小于</w:t>
            </w:r>
            <w:r>
              <w:rPr>
                <w:color w:val="000000"/>
                <w:sz w:val="23"/>
              </w:rPr>
              <w:t>100 TOPS超大算力的拓展坞，含AI算法及技术支持；感知传感器：深度相机+3D激光雷达。</w:t>
            </w:r>
          </w:p>
        </w:tc>
      </w:tr>
      <w:tr w14:paraId="0E0AB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tcPr>
          <w:p w14:paraId="28014CCC">
            <w:pPr>
              <w:spacing w:line="400" w:lineRule="auto"/>
              <w:ind w:firstLine="460"/>
              <w:rPr>
                <w:rFonts w:hint="eastAsia"/>
                <w:color w:val="000000"/>
                <w:sz w:val="23"/>
              </w:rPr>
            </w:pPr>
            <w:r>
              <w:rPr>
                <w:color w:val="000000"/>
                <w:sz w:val="23"/>
              </w:rPr>
              <w:t>6</w:t>
            </w:r>
          </w:p>
        </w:tc>
        <w:tc>
          <w:tcPr>
            <w:tcW w:w="2250" w:type="dxa"/>
          </w:tcPr>
          <w:p w14:paraId="54EC01E1">
            <w:pPr>
              <w:spacing w:line="400" w:lineRule="auto"/>
              <w:ind w:firstLine="460"/>
              <w:rPr>
                <w:rFonts w:hint="eastAsia"/>
                <w:color w:val="000000"/>
                <w:sz w:val="23"/>
              </w:rPr>
            </w:pPr>
            <w:r>
              <w:rPr>
                <w:color w:val="000000"/>
                <w:sz w:val="23"/>
              </w:rPr>
              <w:t>其他</w:t>
            </w:r>
          </w:p>
        </w:tc>
        <w:tc>
          <w:tcPr>
            <w:tcW w:w="4849" w:type="dxa"/>
          </w:tcPr>
          <w:p w14:paraId="7D10F16C">
            <w:pPr>
              <w:spacing w:line="400" w:lineRule="auto"/>
              <w:ind w:firstLine="460"/>
              <w:rPr>
                <w:rFonts w:hint="eastAsia"/>
                <w:color w:val="000000"/>
                <w:sz w:val="23"/>
              </w:rPr>
            </w:pPr>
            <w:r>
              <w:rPr>
                <w:color w:val="000000"/>
                <w:sz w:val="23"/>
              </w:rPr>
              <w:t>支持智能OTA升级；支持高层和低层的二次开发</w:t>
            </w:r>
          </w:p>
        </w:tc>
      </w:tr>
    </w:tbl>
    <w:p w14:paraId="4B22DAEC">
      <w:pPr>
        <w:pStyle w:val="6"/>
        <w:spacing w:before="240" w:after="240" w:line="240" w:lineRule="auto"/>
        <w:rPr>
          <w:rFonts w:hint="eastAsia" w:ascii="宋体" w:hAnsi="宋体" w:eastAsia="宋体" w:cs="宋体"/>
          <w:color w:val="000000"/>
          <w:sz w:val="23"/>
        </w:rPr>
      </w:pPr>
      <w:r>
        <w:rPr>
          <w:rFonts w:hint="eastAsia" w:ascii="宋体" w:hAnsi="宋体" w:eastAsia="宋体" w:cs="宋体"/>
          <w:color w:val="0F1115"/>
          <w:shd w:val="clear" w:color="auto" w:fill="FFFFFF"/>
        </w:rPr>
        <w:t>3.1.4. 人形机器人-灵巧操作型</w:t>
      </w:r>
    </w:p>
    <w:p w14:paraId="13356C33">
      <w:pPr>
        <w:pStyle w:val="80"/>
        <w:spacing w:line="360" w:lineRule="auto"/>
        <w:ind w:firstLine="420" w:firstLineChars="0"/>
        <w:rPr>
          <w:rFonts w:hint="eastAsia" w:ascii="宋体" w:hAnsi="宋体" w:cs="宋体"/>
        </w:rPr>
      </w:pPr>
      <w:r>
        <w:rPr>
          <w:rFonts w:hint="eastAsia" w:ascii="宋体" w:hAnsi="宋体" w:cs="宋体"/>
        </w:rPr>
        <w:t>该型号主要用于需要复杂动作、灵巧操作的展厅导览及科研场景，配备力控灵巧手，可实现精细抓取和手势交互，预估数量2台。其规格参数要求如下：</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6"/>
        <w:gridCol w:w="2166"/>
        <w:gridCol w:w="4921"/>
      </w:tblGrid>
      <w:tr w14:paraId="78471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tcPr>
          <w:p w14:paraId="0384998D">
            <w:pPr>
              <w:spacing w:line="400" w:lineRule="auto"/>
              <w:ind w:firstLine="460"/>
              <w:rPr>
                <w:rFonts w:hint="eastAsia"/>
                <w:b w:val="0"/>
                <w:bCs w:val="0"/>
                <w:color w:val="auto"/>
                <w:sz w:val="23"/>
              </w:rPr>
            </w:pPr>
            <w:r>
              <w:rPr>
                <w:b w:val="0"/>
                <w:bCs w:val="0"/>
                <w:color w:val="auto"/>
                <w:sz w:val="23"/>
              </w:rPr>
              <w:t>序号</w:t>
            </w:r>
          </w:p>
        </w:tc>
        <w:tc>
          <w:tcPr>
            <w:tcW w:w="2166" w:type="dxa"/>
          </w:tcPr>
          <w:p w14:paraId="11037278">
            <w:pPr>
              <w:spacing w:line="400" w:lineRule="auto"/>
              <w:ind w:firstLine="460"/>
              <w:rPr>
                <w:rFonts w:hint="eastAsia"/>
                <w:b w:val="0"/>
                <w:bCs w:val="0"/>
                <w:color w:val="auto"/>
                <w:sz w:val="23"/>
              </w:rPr>
            </w:pPr>
            <w:r>
              <w:rPr>
                <w:b w:val="0"/>
                <w:bCs w:val="0"/>
                <w:color w:val="auto"/>
                <w:sz w:val="23"/>
              </w:rPr>
              <w:t>要求类型</w:t>
            </w:r>
          </w:p>
        </w:tc>
        <w:tc>
          <w:tcPr>
            <w:tcW w:w="4921" w:type="dxa"/>
          </w:tcPr>
          <w:p w14:paraId="4C4B1A91">
            <w:pPr>
              <w:spacing w:line="400" w:lineRule="auto"/>
              <w:ind w:firstLine="460"/>
              <w:rPr>
                <w:rFonts w:hint="eastAsia"/>
                <w:b w:val="0"/>
                <w:bCs w:val="0"/>
                <w:color w:val="auto"/>
                <w:sz w:val="23"/>
              </w:rPr>
            </w:pPr>
            <w:r>
              <w:rPr>
                <w:b w:val="0"/>
                <w:bCs w:val="0"/>
                <w:color w:val="auto"/>
                <w:sz w:val="23"/>
              </w:rPr>
              <w:t>规格参数要求</w:t>
            </w:r>
          </w:p>
        </w:tc>
      </w:tr>
      <w:tr w14:paraId="57CB0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tcPr>
          <w:p w14:paraId="5A3BCBD2">
            <w:pPr>
              <w:spacing w:line="400" w:lineRule="auto"/>
              <w:ind w:firstLine="460"/>
              <w:rPr>
                <w:rFonts w:hint="eastAsia"/>
                <w:b w:val="0"/>
                <w:bCs w:val="0"/>
                <w:color w:val="auto"/>
                <w:sz w:val="23"/>
              </w:rPr>
            </w:pPr>
            <w:r>
              <w:rPr>
                <w:b w:val="0"/>
                <w:bCs w:val="0"/>
                <w:color w:val="auto"/>
                <w:sz w:val="23"/>
              </w:rPr>
              <w:t>1</w:t>
            </w:r>
          </w:p>
        </w:tc>
        <w:tc>
          <w:tcPr>
            <w:tcW w:w="2166" w:type="dxa"/>
          </w:tcPr>
          <w:p w14:paraId="43070D15">
            <w:pPr>
              <w:spacing w:line="400" w:lineRule="auto"/>
              <w:ind w:firstLine="460"/>
              <w:rPr>
                <w:rFonts w:hint="eastAsia"/>
                <w:b w:val="0"/>
                <w:bCs w:val="0"/>
                <w:color w:val="auto"/>
                <w:sz w:val="23"/>
              </w:rPr>
            </w:pPr>
            <w:r>
              <w:rPr>
                <w:b w:val="0"/>
                <w:bCs w:val="0"/>
                <w:color w:val="auto"/>
                <w:sz w:val="23"/>
              </w:rPr>
              <w:t>本体参数</w:t>
            </w:r>
          </w:p>
        </w:tc>
        <w:tc>
          <w:tcPr>
            <w:tcW w:w="4921" w:type="dxa"/>
          </w:tcPr>
          <w:p w14:paraId="008DB7A6">
            <w:pPr>
              <w:spacing w:line="400" w:lineRule="auto"/>
              <w:ind w:firstLine="460"/>
              <w:rPr>
                <w:rFonts w:hint="eastAsia"/>
                <w:b w:val="0"/>
                <w:bCs w:val="0"/>
                <w:color w:val="auto"/>
                <w:sz w:val="23"/>
              </w:rPr>
            </w:pPr>
            <w:r>
              <w:rPr>
                <w:b w:val="0"/>
                <w:bCs w:val="0"/>
                <w:color w:val="auto"/>
                <w:sz w:val="23"/>
              </w:rPr>
              <w:t>站立尺寸：</w:t>
            </w:r>
            <w:r>
              <w:rPr>
                <w:rFonts w:hint="eastAsia"/>
                <w:b w:val="0"/>
                <w:bCs w:val="0"/>
                <w:color w:val="auto"/>
              </w:rPr>
              <w:t>高度大于</w:t>
            </w:r>
            <w:r>
              <w:rPr>
                <w:b w:val="0"/>
                <w:bCs w:val="0"/>
                <w:color w:val="auto"/>
              </w:rPr>
              <w:t>1300mm</w:t>
            </w:r>
            <w:r>
              <w:rPr>
                <w:b w:val="0"/>
                <w:bCs w:val="0"/>
                <w:color w:val="auto"/>
                <w:sz w:val="23"/>
              </w:rPr>
              <w:t>；折叠尺寸：</w:t>
            </w:r>
            <w:r>
              <w:rPr>
                <w:rFonts w:hint="eastAsia"/>
                <w:b w:val="0"/>
                <w:bCs w:val="0"/>
                <w:color w:val="auto"/>
                <w:sz w:val="23"/>
              </w:rPr>
              <w:t>高度不大于700</w:t>
            </w:r>
            <w:r>
              <w:rPr>
                <w:b w:val="0"/>
                <w:bCs w:val="0"/>
                <w:color w:val="auto"/>
                <w:sz w:val="23"/>
              </w:rPr>
              <w:t>mm；带电池重量</w:t>
            </w:r>
            <w:r>
              <w:rPr>
                <w:rFonts w:hint="eastAsia"/>
                <w:b w:val="0"/>
                <w:bCs w:val="0"/>
                <w:color w:val="auto"/>
                <w:sz w:val="23"/>
              </w:rPr>
              <w:t>不大于：</w:t>
            </w:r>
            <w:r>
              <w:rPr>
                <w:b w:val="0"/>
                <w:bCs w:val="0"/>
                <w:color w:val="auto"/>
                <w:sz w:val="23"/>
              </w:rPr>
              <w:t>3</w:t>
            </w:r>
            <w:r>
              <w:rPr>
                <w:rFonts w:hint="eastAsia"/>
                <w:b w:val="0"/>
                <w:bCs w:val="0"/>
                <w:color w:val="auto"/>
                <w:sz w:val="23"/>
              </w:rPr>
              <w:t>6</w:t>
            </w:r>
            <w:r>
              <w:rPr>
                <w:b w:val="0"/>
                <w:bCs w:val="0"/>
                <w:color w:val="auto"/>
                <w:sz w:val="23"/>
              </w:rPr>
              <w:t>kg</w:t>
            </w:r>
          </w:p>
        </w:tc>
      </w:tr>
      <w:tr w14:paraId="19484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tcPr>
          <w:p w14:paraId="22CC6E4C">
            <w:pPr>
              <w:spacing w:line="400" w:lineRule="auto"/>
              <w:ind w:firstLine="460"/>
              <w:rPr>
                <w:rFonts w:hint="eastAsia"/>
                <w:b w:val="0"/>
                <w:bCs w:val="0"/>
                <w:color w:val="auto"/>
                <w:sz w:val="23"/>
              </w:rPr>
            </w:pPr>
            <w:r>
              <w:rPr>
                <w:b w:val="0"/>
                <w:bCs w:val="0"/>
                <w:color w:val="auto"/>
                <w:sz w:val="23"/>
              </w:rPr>
              <w:t>2</w:t>
            </w:r>
          </w:p>
        </w:tc>
        <w:tc>
          <w:tcPr>
            <w:tcW w:w="2166" w:type="dxa"/>
          </w:tcPr>
          <w:p w14:paraId="17B02F2E">
            <w:pPr>
              <w:spacing w:line="400" w:lineRule="auto"/>
              <w:ind w:firstLine="460"/>
              <w:rPr>
                <w:rFonts w:hint="eastAsia"/>
                <w:b w:val="0"/>
                <w:bCs w:val="0"/>
                <w:color w:val="auto"/>
                <w:sz w:val="23"/>
              </w:rPr>
            </w:pPr>
            <w:r>
              <w:rPr>
                <w:b w:val="0"/>
                <w:bCs w:val="0"/>
                <w:color w:val="auto"/>
                <w:sz w:val="23"/>
              </w:rPr>
              <w:t>自由度</w:t>
            </w:r>
          </w:p>
        </w:tc>
        <w:tc>
          <w:tcPr>
            <w:tcW w:w="4921" w:type="dxa"/>
          </w:tcPr>
          <w:p w14:paraId="5D0EBBD2">
            <w:pPr>
              <w:spacing w:line="400" w:lineRule="auto"/>
              <w:ind w:firstLine="462"/>
              <w:rPr>
                <w:rFonts w:hint="eastAsia"/>
                <w:b w:val="0"/>
                <w:bCs w:val="0"/>
                <w:color w:val="auto"/>
                <w:sz w:val="23"/>
              </w:rPr>
            </w:pPr>
            <w:r>
              <w:rPr>
                <w:b w:val="0"/>
                <w:bCs w:val="0"/>
                <w:color w:val="auto"/>
                <w:sz w:val="23"/>
              </w:rPr>
              <w:t>总自由度（关节电机）</w:t>
            </w:r>
            <w:r>
              <w:rPr>
                <w:rFonts w:hint="eastAsia"/>
                <w:b w:val="0"/>
                <w:bCs w:val="0"/>
                <w:color w:val="auto"/>
                <w:sz w:val="23"/>
              </w:rPr>
              <w:t>不小于</w:t>
            </w:r>
            <w:r>
              <w:rPr>
                <w:b w:val="0"/>
                <w:bCs w:val="0"/>
                <w:color w:val="auto"/>
                <w:sz w:val="23"/>
              </w:rPr>
              <w:t>：4</w:t>
            </w:r>
            <w:r>
              <w:rPr>
                <w:rFonts w:hint="eastAsia"/>
                <w:b w:val="0"/>
                <w:bCs w:val="0"/>
                <w:color w:val="auto"/>
                <w:sz w:val="23"/>
              </w:rPr>
              <w:t>1</w:t>
            </w:r>
            <w:r>
              <w:rPr>
                <w:b w:val="0"/>
                <w:bCs w:val="0"/>
                <w:color w:val="auto"/>
                <w:sz w:val="23"/>
              </w:rPr>
              <w:t>；单腿自由度</w:t>
            </w:r>
            <w:r>
              <w:rPr>
                <w:rFonts w:hint="eastAsia"/>
                <w:b w:val="0"/>
                <w:bCs w:val="0"/>
                <w:color w:val="auto"/>
                <w:sz w:val="23"/>
              </w:rPr>
              <w:t>不小于</w:t>
            </w:r>
            <w:r>
              <w:rPr>
                <w:b w:val="0"/>
                <w:bCs w:val="0"/>
                <w:color w:val="auto"/>
                <w:sz w:val="23"/>
              </w:rPr>
              <w:t>：6个；腰部自由度</w:t>
            </w:r>
            <w:r>
              <w:rPr>
                <w:rFonts w:hint="eastAsia"/>
                <w:b w:val="0"/>
                <w:bCs w:val="0"/>
                <w:color w:val="auto"/>
                <w:sz w:val="23"/>
              </w:rPr>
              <w:t>不小于</w:t>
            </w:r>
            <w:r>
              <w:rPr>
                <w:b w:val="0"/>
                <w:bCs w:val="0"/>
                <w:color w:val="auto"/>
                <w:sz w:val="23"/>
              </w:rPr>
              <w:t>：3个；单手臂自由度</w:t>
            </w:r>
            <w:r>
              <w:rPr>
                <w:rFonts w:hint="eastAsia"/>
                <w:b w:val="0"/>
                <w:bCs w:val="0"/>
                <w:color w:val="auto"/>
                <w:sz w:val="23"/>
              </w:rPr>
              <w:t>不小于</w:t>
            </w:r>
            <w:r>
              <w:rPr>
                <w:b w:val="0"/>
                <w:bCs w:val="0"/>
                <w:color w:val="auto"/>
                <w:sz w:val="23"/>
              </w:rPr>
              <w:t>：7个。</w:t>
            </w:r>
          </w:p>
        </w:tc>
      </w:tr>
      <w:tr w14:paraId="1CF5B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tcPr>
          <w:p w14:paraId="049B394B">
            <w:pPr>
              <w:spacing w:line="400" w:lineRule="auto"/>
              <w:ind w:firstLine="460"/>
              <w:rPr>
                <w:rFonts w:hint="eastAsia"/>
                <w:b w:val="0"/>
                <w:bCs w:val="0"/>
                <w:color w:val="auto"/>
                <w:sz w:val="23"/>
              </w:rPr>
            </w:pPr>
            <w:r>
              <w:rPr>
                <w:b w:val="0"/>
                <w:bCs w:val="0"/>
                <w:color w:val="auto"/>
                <w:sz w:val="23"/>
              </w:rPr>
              <w:t>3</w:t>
            </w:r>
          </w:p>
        </w:tc>
        <w:tc>
          <w:tcPr>
            <w:tcW w:w="2166" w:type="dxa"/>
          </w:tcPr>
          <w:p w14:paraId="51F1A08D">
            <w:pPr>
              <w:spacing w:line="400" w:lineRule="auto"/>
              <w:ind w:firstLine="460"/>
              <w:rPr>
                <w:rFonts w:hint="eastAsia"/>
                <w:b w:val="0"/>
                <w:bCs w:val="0"/>
                <w:color w:val="auto"/>
                <w:sz w:val="23"/>
              </w:rPr>
            </w:pPr>
            <w:r>
              <w:rPr>
                <w:b w:val="0"/>
                <w:bCs w:val="0"/>
                <w:color w:val="auto"/>
                <w:sz w:val="23"/>
              </w:rPr>
              <w:t>灵巧手</w:t>
            </w:r>
          </w:p>
        </w:tc>
        <w:tc>
          <w:tcPr>
            <w:tcW w:w="4921" w:type="dxa"/>
          </w:tcPr>
          <w:p w14:paraId="3DA924CE">
            <w:pPr>
              <w:spacing w:line="400" w:lineRule="auto"/>
              <w:ind w:firstLine="462"/>
              <w:rPr>
                <w:rFonts w:hint="eastAsia"/>
                <w:b w:val="0"/>
                <w:bCs w:val="0"/>
                <w:color w:val="auto"/>
                <w:sz w:val="23"/>
              </w:rPr>
            </w:pPr>
            <w:r>
              <w:rPr>
                <w:b w:val="0"/>
                <w:bCs w:val="0"/>
                <w:color w:val="auto"/>
                <w:sz w:val="23"/>
              </w:rPr>
              <w:t>配备2只</w:t>
            </w:r>
            <w:r>
              <w:rPr>
                <w:rFonts w:hint="eastAsia"/>
                <w:b w:val="0"/>
                <w:bCs w:val="0"/>
                <w:color w:val="auto"/>
                <w:sz w:val="23"/>
              </w:rPr>
              <w:t>五</w:t>
            </w:r>
            <w:r>
              <w:rPr>
                <w:b w:val="0"/>
                <w:bCs w:val="0"/>
                <w:color w:val="auto"/>
                <w:sz w:val="23"/>
              </w:rPr>
              <w:t>指灵巧手</w:t>
            </w:r>
            <w:r>
              <w:rPr>
                <w:rFonts w:hint="eastAsia"/>
                <w:b w:val="0"/>
                <w:bCs w:val="0"/>
                <w:color w:val="auto"/>
                <w:sz w:val="23"/>
              </w:rPr>
              <w:t>。</w:t>
            </w:r>
          </w:p>
        </w:tc>
      </w:tr>
      <w:tr w14:paraId="5B97B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tcPr>
          <w:p w14:paraId="1947623A">
            <w:pPr>
              <w:spacing w:line="400" w:lineRule="auto"/>
              <w:ind w:firstLine="460"/>
              <w:rPr>
                <w:rFonts w:hint="eastAsia"/>
                <w:b w:val="0"/>
                <w:bCs w:val="0"/>
                <w:color w:val="auto"/>
                <w:sz w:val="23"/>
              </w:rPr>
            </w:pPr>
            <w:r>
              <w:rPr>
                <w:b w:val="0"/>
                <w:bCs w:val="0"/>
                <w:color w:val="auto"/>
                <w:sz w:val="23"/>
              </w:rPr>
              <w:t>4</w:t>
            </w:r>
          </w:p>
        </w:tc>
        <w:tc>
          <w:tcPr>
            <w:tcW w:w="2166" w:type="dxa"/>
          </w:tcPr>
          <w:p w14:paraId="628FFD45">
            <w:pPr>
              <w:spacing w:line="400" w:lineRule="auto"/>
              <w:ind w:firstLine="460"/>
              <w:rPr>
                <w:rFonts w:hint="eastAsia"/>
                <w:b w:val="0"/>
                <w:bCs w:val="0"/>
                <w:color w:val="auto"/>
                <w:sz w:val="23"/>
              </w:rPr>
            </w:pPr>
            <w:r>
              <w:rPr>
                <w:b w:val="0"/>
                <w:bCs w:val="0"/>
                <w:color w:val="auto"/>
                <w:sz w:val="23"/>
              </w:rPr>
              <w:t>运动性能</w:t>
            </w:r>
          </w:p>
        </w:tc>
        <w:tc>
          <w:tcPr>
            <w:tcW w:w="4921" w:type="dxa"/>
          </w:tcPr>
          <w:p w14:paraId="48F434BB">
            <w:pPr>
              <w:spacing w:line="400" w:lineRule="auto"/>
              <w:ind w:firstLine="460"/>
              <w:rPr>
                <w:rFonts w:hint="eastAsia"/>
                <w:b w:val="0"/>
                <w:bCs w:val="0"/>
                <w:color w:val="auto"/>
                <w:sz w:val="23"/>
              </w:rPr>
            </w:pPr>
            <w:r>
              <w:rPr>
                <w:b w:val="0"/>
                <w:bCs w:val="0"/>
                <w:color w:val="auto"/>
                <w:sz w:val="23"/>
              </w:rPr>
              <w:t>膝关节最大扭矩</w:t>
            </w:r>
            <w:r>
              <w:rPr>
                <w:rFonts w:hint="eastAsia"/>
                <w:b w:val="0"/>
                <w:bCs w:val="0"/>
                <w:color w:val="auto"/>
                <w:sz w:val="23"/>
              </w:rPr>
              <w:t>不小于</w:t>
            </w:r>
            <w:r>
              <w:rPr>
                <w:b w:val="0"/>
                <w:bCs w:val="0"/>
                <w:color w:val="auto"/>
                <w:sz w:val="23"/>
              </w:rPr>
              <w:t>：120N·m；手臂最大负载</w:t>
            </w:r>
            <w:r>
              <w:rPr>
                <w:rFonts w:hint="eastAsia"/>
                <w:b w:val="0"/>
                <w:bCs w:val="0"/>
                <w:color w:val="auto"/>
                <w:sz w:val="23"/>
              </w:rPr>
              <w:t>不小于</w:t>
            </w:r>
            <w:r>
              <w:rPr>
                <w:b w:val="0"/>
                <w:bCs w:val="0"/>
                <w:color w:val="auto"/>
                <w:sz w:val="23"/>
              </w:rPr>
              <w:t>：3kg；小腿+大腿长度：0.6m；手臂臂展</w:t>
            </w:r>
            <w:r>
              <w:rPr>
                <w:rFonts w:hint="eastAsia"/>
                <w:b w:val="0"/>
                <w:bCs w:val="0"/>
                <w:color w:val="auto"/>
                <w:sz w:val="23"/>
              </w:rPr>
              <w:t>不小于</w:t>
            </w:r>
            <w:r>
              <w:rPr>
                <w:b w:val="0"/>
                <w:bCs w:val="0"/>
                <w:color w:val="auto"/>
                <w:sz w:val="23"/>
              </w:rPr>
              <w:t>：0.45m。</w:t>
            </w:r>
          </w:p>
        </w:tc>
      </w:tr>
      <w:tr w14:paraId="6D0FE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tcPr>
          <w:p w14:paraId="672D40E3">
            <w:pPr>
              <w:spacing w:line="400" w:lineRule="auto"/>
              <w:ind w:firstLine="460"/>
              <w:rPr>
                <w:rFonts w:hint="eastAsia"/>
                <w:b w:val="0"/>
                <w:bCs w:val="0"/>
                <w:color w:val="auto"/>
                <w:sz w:val="23"/>
              </w:rPr>
            </w:pPr>
            <w:r>
              <w:rPr>
                <w:b w:val="0"/>
                <w:bCs w:val="0"/>
                <w:color w:val="auto"/>
                <w:sz w:val="23"/>
              </w:rPr>
              <w:t>5</w:t>
            </w:r>
          </w:p>
        </w:tc>
        <w:tc>
          <w:tcPr>
            <w:tcW w:w="2166" w:type="dxa"/>
          </w:tcPr>
          <w:p w14:paraId="4E1F25B9">
            <w:pPr>
              <w:spacing w:line="400" w:lineRule="auto"/>
              <w:ind w:firstLine="460"/>
              <w:rPr>
                <w:rFonts w:hint="eastAsia"/>
                <w:b w:val="0"/>
                <w:bCs w:val="0"/>
                <w:color w:val="auto"/>
                <w:sz w:val="23"/>
              </w:rPr>
            </w:pPr>
            <w:r>
              <w:rPr>
                <w:b w:val="0"/>
                <w:bCs w:val="0"/>
                <w:color w:val="auto"/>
                <w:sz w:val="23"/>
              </w:rPr>
              <w:t>标配功能</w:t>
            </w:r>
          </w:p>
        </w:tc>
        <w:tc>
          <w:tcPr>
            <w:tcW w:w="4921" w:type="dxa"/>
          </w:tcPr>
          <w:p w14:paraId="1BF6FB35">
            <w:pPr>
              <w:spacing w:line="400" w:lineRule="auto"/>
              <w:ind w:firstLine="460"/>
              <w:rPr>
                <w:rFonts w:hint="eastAsia"/>
                <w:b w:val="0"/>
                <w:bCs w:val="0"/>
                <w:color w:val="auto"/>
                <w:sz w:val="23"/>
              </w:rPr>
            </w:pPr>
            <w:r>
              <w:rPr>
                <w:b w:val="0"/>
                <w:bCs w:val="0"/>
                <w:color w:val="auto"/>
                <w:sz w:val="23"/>
              </w:rPr>
              <w:t>4麦克风阵列、5W扬声器；超大关节运动空间：腰部Z轴±155°，膝关节0~165°，髋关节P+154°/R-30~+170°/Y+158°；全关节中空内走线；关节编码器为双编码器；散热系统：局部风冷散热。</w:t>
            </w:r>
          </w:p>
        </w:tc>
      </w:tr>
      <w:tr w14:paraId="034F1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tcPr>
          <w:p w14:paraId="1542C733">
            <w:pPr>
              <w:spacing w:line="400" w:lineRule="auto"/>
              <w:ind w:firstLine="460"/>
              <w:rPr>
                <w:rFonts w:hint="eastAsia"/>
                <w:b w:val="0"/>
                <w:bCs w:val="0"/>
                <w:color w:val="auto"/>
                <w:sz w:val="23"/>
              </w:rPr>
            </w:pPr>
            <w:r>
              <w:rPr>
                <w:b w:val="0"/>
                <w:bCs w:val="0"/>
                <w:color w:val="auto"/>
                <w:sz w:val="23"/>
              </w:rPr>
              <w:t>6</w:t>
            </w:r>
          </w:p>
        </w:tc>
        <w:tc>
          <w:tcPr>
            <w:tcW w:w="2166" w:type="dxa"/>
          </w:tcPr>
          <w:p w14:paraId="3DE0B7FC">
            <w:pPr>
              <w:spacing w:line="400" w:lineRule="auto"/>
              <w:ind w:firstLine="460"/>
              <w:rPr>
                <w:rFonts w:hint="eastAsia"/>
                <w:b w:val="0"/>
                <w:bCs w:val="0"/>
                <w:color w:val="auto"/>
                <w:sz w:val="23"/>
              </w:rPr>
            </w:pPr>
            <w:r>
              <w:rPr>
                <w:b w:val="0"/>
                <w:bCs w:val="0"/>
                <w:color w:val="auto"/>
                <w:sz w:val="23"/>
              </w:rPr>
              <w:t>算力与感知</w:t>
            </w:r>
          </w:p>
        </w:tc>
        <w:tc>
          <w:tcPr>
            <w:tcW w:w="4921" w:type="dxa"/>
          </w:tcPr>
          <w:p w14:paraId="70FF0AD2">
            <w:pPr>
              <w:spacing w:line="400" w:lineRule="auto"/>
              <w:ind w:firstLine="460"/>
              <w:rPr>
                <w:rFonts w:hint="eastAsia"/>
                <w:b w:val="0"/>
                <w:bCs w:val="0"/>
                <w:color w:val="auto"/>
                <w:sz w:val="23"/>
              </w:rPr>
            </w:pPr>
            <w:r>
              <w:rPr>
                <w:b w:val="0"/>
                <w:bCs w:val="0"/>
                <w:color w:val="auto"/>
                <w:sz w:val="23"/>
              </w:rPr>
              <w:t>基础算力：8核高性能CPU；具备</w:t>
            </w:r>
            <w:r>
              <w:rPr>
                <w:rFonts w:hint="eastAsia"/>
                <w:b w:val="0"/>
                <w:bCs w:val="0"/>
                <w:color w:val="auto"/>
                <w:sz w:val="23"/>
              </w:rPr>
              <w:t>不小于</w:t>
            </w:r>
            <w:r>
              <w:rPr>
                <w:b w:val="0"/>
                <w:bCs w:val="0"/>
                <w:color w:val="auto"/>
                <w:sz w:val="23"/>
              </w:rPr>
              <w:t>100 TOPS超大算力的拓展坞，含AI算法及技术支持；感知传感器：深度相机+3D激光雷达。</w:t>
            </w:r>
          </w:p>
        </w:tc>
      </w:tr>
      <w:tr w14:paraId="5C295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tcPr>
          <w:p w14:paraId="0C33EB79">
            <w:pPr>
              <w:spacing w:line="400" w:lineRule="auto"/>
              <w:ind w:firstLine="460"/>
              <w:rPr>
                <w:rFonts w:hint="eastAsia"/>
                <w:b w:val="0"/>
                <w:bCs w:val="0"/>
                <w:color w:val="auto"/>
                <w:sz w:val="23"/>
              </w:rPr>
            </w:pPr>
            <w:r>
              <w:rPr>
                <w:b w:val="0"/>
                <w:bCs w:val="0"/>
                <w:color w:val="auto"/>
                <w:sz w:val="23"/>
              </w:rPr>
              <w:t>7</w:t>
            </w:r>
          </w:p>
        </w:tc>
        <w:tc>
          <w:tcPr>
            <w:tcW w:w="2166" w:type="dxa"/>
          </w:tcPr>
          <w:p w14:paraId="3EDD38B5">
            <w:pPr>
              <w:spacing w:line="400" w:lineRule="auto"/>
              <w:ind w:firstLine="460"/>
              <w:rPr>
                <w:rFonts w:hint="eastAsia"/>
                <w:b w:val="0"/>
                <w:bCs w:val="0"/>
                <w:color w:val="auto"/>
                <w:sz w:val="23"/>
              </w:rPr>
            </w:pPr>
            <w:r>
              <w:rPr>
                <w:b w:val="0"/>
                <w:bCs w:val="0"/>
                <w:color w:val="auto"/>
                <w:sz w:val="23"/>
              </w:rPr>
              <w:t>其他</w:t>
            </w:r>
          </w:p>
        </w:tc>
        <w:tc>
          <w:tcPr>
            <w:tcW w:w="4921" w:type="dxa"/>
          </w:tcPr>
          <w:p w14:paraId="47D5479E">
            <w:pPr>
              <w:spacing w:line="400" w:lineRule="auto"/>
              <w:ind w:firstLine="460"/>
              <w:rPr>
                <w:rFonts w:hint="eastAsia"/>
                <w:b w:val="0"/>
                <w:bCs w:val="0"/>
                <w:color w:val="auto"/>
                <w:sz w:val="23"/>
              </w:rPr>
            </w:pPr>
            <w:r>
              <w:rPr>
                <w:b w:val="0"/>
                <w:bCs w:val="0"/>
                <w:color w:val="auto"/>
                <w:sz w:val="23"/>
              </w:rPr>
              <w:t>支持智能OTA升级；支持高层和低层的二次开发。</w:t>
            </w:r>
          </w:p>
        </w:tc>
      </w:tr>
    </w:tbl>
    <w:p w14:paraId="3997F092">
      <w:pPr>
        <w:pStyle w:val="6"/>
        <w:spacing w:before="240" w:after="240" w:line="240" w:lineRule="auto"/>
        <w:rPr>
          <w:rFonts w:hint="eastAsia" w:ascii="宋体" w:hAnsi="宋体" w:eastAsia="宋体" w:cs="宋体"/>
          <w:color w:val="000000"/>
          <w:sz w:val="23"/>
        </w:rPr>
      </w:pPr>
      <w:r>
        <w:rPr>
          <w:rFonts w:hint="eastAsia" w:ascii="宋体" w:hAnsi="宋体" w:eastAsia="宋体" w:cs="宋体"/>
          <w:color w:val="0F1115"/>
          <w:shd w:val="clear" w:color="auto" w:fill="FFFFFF"/>
        </w:rPr>
        <w:t>3.1.5. 轮式机器人-交互感知型</w:t>
      </w:r>
    </w:p>
    <w:p w14:paraId="14F4F6DF">
      <w:pPr>
        <w:pStyle w:val="80"/>
        <w:spacing w:line="360" w:lineRule="auto"/>
        <w:ind w:firstLine="420" w:firstLineChars="0"/>
        <w:rPr>
          <w:rFonts w:hint="eastAsia" w:ascii="宋体" w:hAnsi="宋体" w:cs="宋体"/>
        </w:rPr>
      </w:pPr>
      <w:r>
        <w:rPr>
          <w:rFonts w:hint="eastAsia" w:ascii="宋体" w:hAnsi="宋体" w:cs="宋体"/>
        </w:rPr>
        <w:t>该型号主要用于机房巡检、仓库搬运等复杂动作的环境，具备交互感知反馈，预估数量2台。其规格参数要求如下：</w:t>
      </w:r>
    </w:p>
    <w:tbl>
      <w:tblPr>
        <w:tblStyle w:val="2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6"/>
        <w:gridCol w:w="2136"/>
        <w:gridCol w:w="4879"/>
      </w:tblGrid>
      <w:tr w14:paraId="4FEF32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6" w:type="dxa"/>
            <w:tcMar>
              <w:top w:w="150" w:type="dxa"/>
              <w:left w:w="0" w:type="dxa"/>
              <w:bottom w:w="150" w:type="dxa"/>
              <w:right w:w="240" w:type="dxa"/>
            </w:tcMar>
            <w:vAlign w:val="center"/>
          </w:tcPr>
          <w:p w14:paraId="14AF76B9">
            <w:pPr>
              <w:spacing w:line="400" w:lineRule="auto"/>
              <w:ind w:firstLine="460"/>
              <w:rPr>
                <w:rFonts w:hint="eastAsia"/>
                <w:b w:val="0"/>
                <w:bCs w:val="0"/>
                <w:color w:val="auto"/>
                <w:sz w:val="23"/>
              </w:rPr>
            </w:pPr>
            <w:r>
              <w:rPr>
                <w:b w:val="0"/>
                <w:bCs w:val="0"/>
                <w:color w:val="auto"/>
                <w:sz w:val="23"/>
              </w:rPr>
              <w:t>序号</w:t>
            </w:r>
          </w:p>
        </w:tc>
        <w:tc>
          <w:tcPr>
            <w:tcW w:w="2136" w:type="dxa"/>
            <w:tcMar>
              <w:top w:w="150" w:type="dxa"/>
              <w:left w:w="240" w:type="dxa"/>
              <w:bottom w:w="150" w:type="dxa"/>
              <w:right w:w="240" w:type="dxa"/>
            </w:tcMar>
            <w:vAlign w:val="center"/>
          </w:tcPr>
          <w:p w14:paraId="2A6A430B">
            <w:pPr>
              <w:spacing w:line="400" w:lineRule="auto"/>
              <w:ind w:firstLine="460"/>
              <w:rPr>
                <w:rFonts w:hint="eastAsia"/>
                <w:b w:val="0"/>
                <w:bCs w:val="0"/>
                <w:color w:val="auto"/>
                <w:sz w:val="23"/>
              </w:rPr>
            </w:pPr>
            <w:r>
              <w:rPr>
                <w:b w:val="0"/>
                <w:bCs w:val="0"/>
                <w:color w:val="auto"/>
                <w:sz w:val="23"/>
              </w:rPr>
              <w:t>要求类型</w:t>
            </w:r>
          </w:p>
        </w:tc>
        <w:tc>
          <w:tcPr>
            <w:tcW w:w="4879" w:type="dxa"/>
            <w:tcMar>
              <w:top w:w="150" w:type="dxa"/>
              <w:left w:w="240" w:type="dxa"/>
              <w:bottom w:w="150" w:type="dxa"/>
              <w:right w:w="240" w:type="dxa"/>
            </w:tcMar>
            <w:vAlign w:val="center"/>
          </w:tcPr>
          <w:p w14:paraId="499ABA70">
            <w:pPr>
              <w:spacing w:line="400" w:lineRule="auto"/>
              <w:ind w:firstLine="460"/>
              <w:rPr>
                <w:rFonts w:hint="eastAsia"/>
                <w:b w:val="0"/>
                <w:bCs w:val="0"/>
                <w:color w:val="auto"/>
                <w:sz w:val="23"/>
              </w:rPr>
            </w:pPr>
            <w:r>
              <w:rPr>
                <w:b w:val="0"/>
                <w:bCs w:val="0"/>
                <w:color w:val="auto"/>
                <w:sz w:val="23"/>
              </w:rPr>
              <w:t>规格参数要求</w:t>
            </w:r>
          </w:p>
        </w:tc>
      </w:tr>
      <w:tr w14:paraId="17F568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6" w:type="dxa"/>
            <w:tcMar>
              <w:top w:w="150" w:type="dxa"/>
              <w:left w:w="0" w:type="dxa"/>
              <w:bottom w:w="150" w:type="dxa"/>
              <w:right w:w="240" w:type="dxa"/>
            </w:tcMar>
            <w:vAlign w:val="center"/>
          </w:tcPr>
          <w:p w14:paraId="266E7456">
            <w:pPr>
              <w:spacing w:line="400" w:lineRule="auto"/>
              <w:ind w:firstLine="460"/>
              <w:rPr>
                <w:rFonts w:hint="eastAsia"/>
                <w:b w:val="0"/>
                <w:bCs w:val="0"/>
                <w:color w:val="auto"/>
                <w:sz w:val="23"/>
              </w:rPr>
            </w:pPr>
            <w:r>
              <w:rPr>
                <w:rFonts w:hint="eastAsia"/>
                <w:b w:val="0"/>
                <w:bCs w:val="0"/>
                <w:color w:val="auto"/>
                <w:sz w:val="23"/>
              </w:rPr>
              <w:t>1</w:t>
            </w:r>
          </w:p>
        </w:tc>
        <w:tc>
          <w:tcPr>
            <w:tcW w:w="2136" w:type="dxa"/>
            <w:tcMar>
              <w:top w:w="150" w:type="dxa"/>
              <w:left w:w="240" w:type="dxa"/>
              <w:bottom w:w="150" w:type="dxa"/>
              <w:right w:w="240" w:type="dxa"/>
            </w:tcMar>
            <w:vAlign w:val="center"/>
          </w:tcPr>
          <w:p w14:paraId="7671E0EE">
            <w:pPr>
              <w:spacing w:line="400" w:lineRule="auto"/>
              <w:ind w:firstLine="460"/>
              <w:rPr>
                <w:rFonts w:hint="eastAsia"/>
                <w:b w:val="0"/>
                <w:bCs w:val="0"/>
                <w:color w:val="auto"/>
                <w:sz w:val="23"/>
              </w:rPr>
            </w:pPr>
            <w:r>
              <w:rPr>
                <w:rFonts w:hint="eastAsia"/>
                <w:b w:val="0"/>
                <w:bCs w:val="0"/>
                <w:color w:val="auto"/>
                <w:sz w:val="23"/>
              </w:rPr>
              <w:t>本体参数</w:t>
            </w:r>
          </w:p>
        </w:tc>
        <w:tc>
          <w:tcPr>
            <w:tcW w:w="4879" w:type="dxa"/>
            <w:tcMar>
              <w:top w:w="150" w:type="dxa"/>
              <w:left w:w="240" w:type="dxa"/>
              <w:bottom w:w="150" w:type="dxa"/>
              <w:right w:w="0" w:type="dxa"/>
            </w:tcMar>
            <w:vAlign w:val="center"/>
          </w:tcPr>
          <w:p w14:paraId="09CEF490">
            <w:pPr>
              <w:spacing w:line="400" w:lineRule="auto"/>
              <w:ind w:firstLine="462"/>
              <w:rPr>
                <w:rFonts w:hint="eastAsia"/>
                <w:b w:val="0"/>
                <w:bCs w:val="0"/>
                <w:color w:val="auto"/>
                <w:sz w:val="23"/>
              </w:rPr>
            </w:pPr>
            <w:r>
              <w:rPr>
                <w:b w:val="0"/>
                <w:bCs w:val="0"/>
                <w:color w:val="auto"/>
                <w:sz w:val="23"/>
              </w:rPr>
              <w:t>站立尺寸：</w:t>
            </w:r>
            <w:r>
              <w:rPr>
                <w:rFonts w:hint="eastAsia"/>
                <w:b w:val="0"/>
                <w:bCs w:val="0"/>
                <w:color w:val="auto"/>
                <w:sz w:val="23"/>
              </w:rPr>
              <w:t>最高</w:t>
            </w:r>
            <w:r>
              <w:rPr>
                <w:b w:val="0"/>
                <w:bCs w:val="0"/>
                <w:color w:val="auto"/>
                <w:sz w:val="23"/>
              </w:rPr>
              <w:t>高度大于1</w:t>
            </w:r>
            <w:r>
              <w:rPr>
                <w:rFonts w:hint="eastAsia"/>
                <w:b w:val="0"/>
                <w:bCs w:val="0"/>
                <w:color w:val="auto"/>
                <w:sz w:val="23"/>
              </w:rPr>
              <w:t>5</w:t>
            </w:r>
            <w:r>
              <w:rPr>
                <w:b w:val="0"/>
                <w:bCs w:val="0"/>
                <w:color w:val="auto"/>
                <w:sz w:val="23"/>
              </w:rPr>
              <w:t>00mm</w:t>
            </w:r>
          </w:p>
          <w:p w14:paraId="6388F394">
            <w:pPr>
              <w:spacing w:line="400" w:lineRule="auto"/>
              <w:ind w:firstLine="462"/>
              <w:rPr>
                <w:rFonts w:hint="eastAsia"/>
                <w:b w:val="0"/>
                <w:bCs w:val="0"/>
                <w:color w:val="auto"/>
                <w:sz w:val="23"/>
              </w:rPr>
            </w:pPr>
            <w:r>
              <w:rPr>
                <w:b w:val="0"/>
                <w:bCs w:val="0"/>
                <w:color w:val="auto"/>
                <w:sz w:val="23"/>
              </w:rPr>
              <w:t>带电池重量</w:t>
            </w:r>
            <w:r>
              <w:rPr>
                <w:rFonts w:hint="eastAsia"/>
                <w:b w:val="0"/>
                <w:bCs w:val="0"/>
                <w:color w:val="auto"/>
                <w:sz w:val="23"/>
              </w:rPr>
              <w:t>不大于55</w:t>
            </w:r>
            <w:r>
              <w:rPr>
                <w:b w:val="0"/>
                <w:bCs w:val="0"/>
                <w:color w:val="auto"/>
                <w:sz w:val="23"/>
              </w:rPr>
              <w:t>kg</w:t>
            </w:r>
            <w:r>
              <w:rPr>
                <w:rFonts w:hint="eastAsia"/>
                <w:b w:val="0"/>
                <w:bCs w:val="0"/>
                <w:color w:val="auto"/>
                <w:sz w:val="23"/>
              </w:rPr>
              <w:t>。</w:t>
            </w:r>
          </w:p>
        </w:tc>
      </w:tr>
      <w:tr w14:paraId="071DC5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6" w:type="dxa"/>
            <w:tcMar>
              <w:top w:w="150" w:type="dxa"/>
              <w:left w:w="0" w:type="dxa"/>
              <w:bottom w:w="150" w:type="dxa"/>
              <w:right w:w="240" w:type="dxa"/>
            </w:tcMar>
            <w:vAlign w:val="center"/>
          </w:tcPr>
          <w:p w14:paraId="3CBAD51B">
            <w:pPr>
              <w:spacing w:line="400" w:lineRule="auto"/>
              <w:ind w:firstLine="460"/>
              <w:rPr>
                <w:rFonts w:hint="eastAsia"/>
                <w:b w:val="0"/>
                <w:bCs w:val="0"/>
                <w:color w:val="auto"/>
                <w:sz w:val="23"/>
              </w:rPr>
            </w:pPr>
            <w:r>
              <w:rPr>
                <w:rFonts w:hint="eastAsia"/>
                <w:b w:val="0"/>
                <w:bCs w:val="0"/>
                <w:color w:val="auto"/>
                <w:sz w:val="23"/>
              </w:rPr>
              <w:t>2</w:t>
            </w:r>
          </w:p>
        </w:tc>
        <w:tc>
          <w:tcPr>
            <w:tcW w:w="2136" w:type="dxa"/>
            <w:tcMar>
              <w:top w:w="150" w:type="dxa"/>
              <w:left w:w="240" w:type="dxa"/>
              <w:bottom w:w="150" w:type="dxa"/>
              <w:right w:w="240" w:type="dxa"/>
            </w:tcMar>
            <w:vAlign w:val="center"/>
          </w:tcPr>
          <w:p w14:paraId="668E3BA2">
            <w:pPr>
              <w:spacing w:line="400" w:lineRule="auto"/>
              <w:ind w:firstLine="460"/>
              <w:rPr>
                <w:rFonts w:hint="eastAsia"/>
                <w:b w:val="0"/>
                <w:bCs w:val="0"/>
                <w:color w:val="auto"/>
                <w:sz w:val="23"/>
              </w:rPr>
            </w:pPr>
            <w:r>
              <w:rPr>
                <w:b w:val="0"/>
                <w:bCs w:val="0"/>
                <w:color w:val="auto"/>
                <w:sz w:val="23"/>
              </w:rPr>
              <w:t>自由度</w:t>
            </w:r>
          </w:p>
        </w:tc>
        <w:tc>
          <w:tcPr>
            <w:tcW w:w="4879" w:type="dxa"/>
            <w:tcMar>
              <w:top w:w="150" w:type="dxa"/>
              <w:left w:w="240" w:type="dxa"/>
              <w:bottom w:w="150" w:type="dxa"/>
              <w:right w:w="0" w:type="dxa"/>
            </w:tcMar>
            <w:vAlign w:val="center"/>
          </w:tcPr>
          <w:p w14:paraId="799292FC">
            <w:pPr>
              <w:spacing w:line="400" w:lineRule="auto"/>
              <w:ind w:firstLine="462"/>
              <w:rPr>
                <w:rFonts w:hint="eastAsia"/>
                <w:b w:val="0"/>
                <w:bCs w:val="0"/>
                <w:color w:val="auto"/>
                <w:sz w:val="23"/>
              </w:rPr>
            </w:pPr>
            <w:r>
              <w:rPr>
                <w:b w:val="0"/>
                <w:bCs w:val="0"/>
                <w:color w:val="auto"/>
                <w:sz w:val="23"/>
              </w:rPr>
              <w:t>整机自由度</w:t>
            </w:r>
            <w:r>
              <w:rPr>
                <w:rFonts w:hint="eastAsia"/>
                <w:b w:val="0"/>
                <w:bCs w:val="0"/>
                <w:color w:val="auto"/>
                <w:sz w:val="23"/>
              </w:rPr>
              <w:t>不小于</w:t>
            </w:r>
            <w:r>
              <w:rPr>
                <w:b w:val="0"/>
                <w:bCs w:val="0"/>
                <w:color w:val="auto"/>
                <w:sz w:val="23"/>
              </w:rPr>
              <w:t>31</w:t>
            </w:r>
            <w:r>
              <w:rPr>
                <w:rFonts w:hint="eastAsia"/>
                <w:b w:val="0"/>
                <w:bCs w:val="0"/>
                <w:color w:val="auto"/>
                <w:sz w:val="23"/>
              </w:rPr>
              <w:t>个</w:t>
            </w:r>
            <w:r>
              <w:rPr>
                <w:b w:val="0"/>
                <w:bCs w:val="0"/>
                <w:color w:val="auto"/>
                <w:sz w:val="23"/>
              </w:rPr>
              <w:t>；腰部自由度</w:t>
            </w:r>
            <w:r>
              <w:rPr>
                <w:rFonts w:hint="eastAsia"/>
                <w:b w:val="0"/>
                <w:bCs w:val="0"/>
                <w:color w:val="auto"/>
                <w:sz w:val="23"/>
              </w:rPr>
              <w:t>不低于</w:t>
            </w:r>
            <w:r>
              <w:rPr>
                <w:b w:val="0"/>
                <w:bCs w:val="0"/>
                <w:color w:val="auto"/>
                <w:sz w:val="23"/>
              </w:rPr>
              <w:t>：</w:t>
            </w:r>
            <w:r>
              <w:rPr>
                <w:rFonts w:hint="eastAsia"/>
                <w:b w:val="0"/>
                <w:bCs w:val="0"/>
                <w:color w:val="auto"/>
                <w:sz w:val="23"/>
              </w:rPr>
              <w:t>2个</w:t>
            </w:r>
            <w:r>
              <w:rPr>
                <w:b w:val="0"/>
                <w:bCs w:val="0"/>
                <w:color w:val="auto"/>
                <w:sz w:val="23"/>
              </w:rPr>
              <w:t>；单手臂自由度</w:t>
            </w:r>
            <w:r>
              <w:rPr>
                <w:rFonts w:hint="eastAsia"/>
                <w:b w:val="0"/>
                <w:bCs w:val="0"/>
                <w:color w:val="auto"/>
                <w:sz w:val="23"/>
              </w:rPr>
              <w:t>不低于</w:t>
            </w:r>
            <w:r>
              <w:rPr>
                <w:b w:val="0"/>
                <w:bCs w:val="0"/>
                <w:color w:val="auto"/>
                <w:sz w:val="23"/>
              </w:rPr>
              <w:t>：7</w:t>
            </w:r>
            <w:r>
              <w:rPr>
                <w:rFonts w:hint="eastAsia"/>
                <w:b w:val="0"/>
                <w:bCs w:val="0"/>
                <w:color w:val="auto"/>
                <w:sz w:val="23"/>
              </w:rPr>
              <w:t>个</w:t>
            </w:r>
            <w:r>
              <w:rPr>
                <w:b w:val="0"/>
                <w:bCs w:val="0"/>
                <w:color w:val="auto"/>
                <w:sz w:val="23"/>
              </w:rPr>
              <w:t>；</w:t>
            </w:r>
            <w:r>
              <w:rPr>
                <w:rFonts w:hint="eastAsia"/>
                <w:b w:val="0"/>
                <w:bCs w:val="0"/>
                <w:color w:val="auto"/>
                <w:sz w:val="23"/>
              </w:rPr>
              <w:t>手部</w:t>
            </w:r>
            <w:r>
              <w:rPr>
                <w:b w:val="0"/>
                <w:bCs w:val="0"/>
                <w:color w:val="auto"/>
                <w:sz w:val="23"/>
              </w:rPr>
              <w:t>自由度</w:t>
            </w:r>
            <w:r>
              <w:rPr>
                <w:rFonts w:hint="eastAsia"/>
                <w:b w:val="0"/>
                <w:bCs w:val="0"/>
                <w:color w:val="auto"/>
                <w:sz w:val="23"/>
              </w:rPr>
              <w:t>不低于</w:t>
            </w:r>
            <w:r>
              <w:rPr>
                <w:b w:val="0"/>
                <w:bCs w:val="0"/>
                <w:color w:val="auto"/>
                <w:sz w:val="23"/>
              </w:rPr>
              <w:t>：</w:t>
            </w:r>
            <w:r>
              <w:rPr>
                <w:rFonts w:hint="eastAsia"/>
                <w:b w:val="0"/>
                <w:bCs w:val="0"/>
                <w:color w:val="auto"/>
                <w:sz w:val="23"/>
              </w:rPr>
              <w:t>6个</w:t>
            </w:r>
            <w:r>
              <w:rPr>
                <w:b w:val="0"/>
                <w:bCs w:val="0"/>
                <w:color w:val="auto"/>
                <w:sz w:val="23"/>
              </w:rPr>
              <w:t>。</w:t>
            </w:r>
          </w:p>
        </w:tc>
      </w:tr>
      <w:tr w14:paraId="1F0B18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6" w:type="dxa"/>
            <w:tcMar>
              <w:top w:w="150" w:type="dxa"/>
              <w:left w:w="0" w:type="dxa"/>
              <w:bottom w:w="150" w:type="dxa"/>
              <w:right w:w="240" w:type="dxa"/>
            </w:tcMar>
            <w:vAlign w:val="center"/>
          </w:tcPr>
          <w:p w14:paraId="1C263F30">
            <w:pPr>
              <w:spacing w:line="400" w:lineRule="auto"/>
              <w:ind w:firstLine="460"/>
              <w:rPr>
                <w:rFonts w:hint="eastAsia"/>
                <w:b w:val="0"/>
                <w:bCs w:val="0"/>
                <w:color w:val="auto"/>
                <w:sz w:val="23"/>
              </w:rPr>
            </w:pPr>
            <w:r>
              <w:rPr>
                <w:rFonts w:hint="eastAsia"/>
                <w:b w:val="0"/>
                <w:bCs w:val="0"/>
                <w:color w:val="auto"/>
                <w:sz w:val="23"/>
              </w:rPr>
              <w:t>3</w:t>
            </w:r>
          </w:p>
        </w:tc>
        <w:tc>
          <w:tcPr>
            <w:tcW w:w="2136" w:type="dxa"/>
            <w:tcMar>
              <w:top w:w="150" w:type="dxa"/>
              <w:left w:w="240" w:type="dxa"/>
              <w:bottom w:w="150" w:type="dxa"/>
              <w:right w:w="240" w:type="dxa"/>
            </w:tcMar>
            <w:vAlign w:val="center"/>
          </w:tcPr>
          <w:p w14:paraId="0252DAB9">
            <w:pPr>
              <w:spacing w:line="400" w:lineRule="auto"/>
              <w:ind w:firstLine="460"/>
              <w:rPr>
                <w:rFonts w:hint="eastAsia"/>
                <w:b w:val="0"/>
                <w:bCs w:val="0"/>
                <w:color w:val="auto"/>
                <w:sz w:val="23"/>
              </w:rPr>
            </w:pPr>
            <w:r>
              <w:rPr>
                <w:b w:val="0"/>
                <w:bCs w:val="0"/>
                <w:color w:val="auto"/>
                <w:sz w:val="23"/>
              </w:rPr>
              <w:t>感知系统</w:t>
            </w:r>
          </w:p>
        </w:tc>
        <w:tc>
          <w:tcPr>
            <w:tcW w:w="4879" w:type="dxa"/>
            <w:tcMar>
              <w:top w:w="150" w:type="dxa"/>
              <w:left w:w="240" w:type="dxa"/>
              <w:bottom w:w="150" w:type="dxa"/>
              <w:right w:w="0" w:type="dxa"/>
            </w:tcMar>
            <w:vAlign w:val="center"/>
          </w:tcPr>
          <w:p w14:paraId="3F9DAD38">
            <w:pPr>
              <w:spacing w:line="400" w:lineRule="auto"/>
              <w:ind w:firstLine="460"/>
              <w:rPr>
                <w:rFonts w:hint="eastAsia"/>
                <w:b w:val="0"/>
                <w:bCs w:val="0"/>
                <w:color w:val="auto"/>
                <w:sz w:val="23"/>
              </w:rPr>
            </w:pPr>
            <w:r>
              <w:rPr>
                <w:rFonts w:hint="eastAsia"/>
                <w:b w:val="0"/>
                <w:bCs w:val="0"/>
                <w:color w:val="auto"/>
                <w:sz w:val="23"/>
              </w:rPr>
              <w:t>头部高清相机</w:t>
            </w:r>
            <w:r>
              <w:rPr>
                <w:b w:val="0"/>
                <w:bCs w:val="0"/>
                <w:color w:val="auto"/>
                <w:sz w:val="23"/>
              </w:rPr>
              <w:t>×1</w:t>
            </w:r>
            <w:r>
              <w:rPr>
                <w:rFonts w:hint="eastAsia"/>
                <w:b w:val="0"/>
                <w:bCs w:val="0"/>
                <w:color w:val="auto"/>
                <w:sz w:val="23"/>
              </w:rPr>
              <w:t>，分辨率不小于3600*1200</w:t>
            </w:r>
            <w:r>
              <w:rPr>
                <w:b w:val="0"/>
                <w:bCs w:val="0"/>
                <w:color w:val="auto"/>
                <w:sz w:val="23"/>
              </w:rPr>
              <w:t>；</w:t>
            </w:r>
            <w:r>
              <w:rPr>
                <w:rFonts w:hint="eastAsia"/>
                <w:b w:val="0"/>
                <w:bCs w:val="0"/>
                <w:color w:val="auto"/>
                <w:sz w:val="23"/>
              </w:rPr>
              <w:t>手腕高清相机</w:t>
            </w:r>
            <w:r>
              <w:rPr>
                <w:b w:val="0"/>
                <w:bCs w:val="0"/>
                <w:color w:val="auto"/>
                <w:sz w:val="23"/>
              </w:rPr>
              <w:t>×1</w:t>
            </w:r>
            <w:r>
              <w:rPr>
                <w:rFonts w:hint="eastAsia"/>
                <w:b w:val="0"/>
                <w:bCs w:val="0"/>
                <w:color w:val="auto"/>
                <w:sz w:val="23"/>
              </w:rPr>
              <w:t>，分辨率不小于1920*1080。</w:t>
            </w:r>
          </w:p>
        </w:tc>
      </w:tr>
      <w:tr w14:paraId="1EC543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6" w:type="dxa"/>
            <w:tcMar>
              <w:top w:w="150" w:type="dxa"/>
              <w:left w:w="0" w:type="dxa"/>
              <w:bottom w:w="150" w:type="dxa"/>
              <w:right w:w="240" w:type="dxa"/>
            </w:tcMar>
            <w:vAlign w:val="center"/>
          </w:tcPr>
          <w:p w14:paraId="07AAAD12">
            <w:pPr>
              <w:spacing w:line="400" w:lineRule="auto"/>
              <w:ind w:firstLine="460"/>
              <w:rPr>
                <w:rFonts w:hint="eastAsia"/>
                <w:b w:val="0"/>
                <w:bCs w:val="0"/>
                <w:color w:val="auto"/>
                <w:sz w:val="23"/>
              </w:rPr>
            </w:pPr>
            <w:r>
              <w:rPr>
                <w:rFonts w:hint="eastAsia"/>
                <w:b w:val="0"/>
                <w:bCs w:val="0"/>
                <w:color w:val="auto"/>
                <w:sz w:val="23"/>
              </w:rPr>
              <w:t>4</w:t>
            </w:r>
          </w:p>
        </w:tc>
        <w:tc>
          <w:tcPr>
            <w:tcW w:w="2136" w:type="dxa"/>
            <w:tcMar>
              <w:top w:w="150" w:type="dxa"/>
              <w:left w:w="240" w:type="dxa"/>
              <w:bottom w:w="150" w:type="dxa"/>
              <w:right w:w="240" w:type="dxa"/>
            </w:tcMar>
            <w:vAlign w:val="center"/>
          </w:tcPr>
          <w:p w14:paraId="39BE4CA7">
            <w:pPr>
              <w:spacing w:line="400" w:lineRule="auto"/>
              <w:ind w:firstLine="460"/>
              <w:rPr>
                <w:rFonts w:hint="eastAsia"/>
                <w:b w:val="0"/>
                <w:bCs w:val="0"/>
                <w:color w:val="auto"/>
                <w:sz w:val="23"/>
              </w:rPr>
            </w:pPr>
            <w:r>
              <w:rPr>
                <w:b w:val="0"/>
                <w:bCs w:val="0"/>
                <w:color w:val="auto"/>
                <w:sz w:val="23"/>
              </w:rPr>
              <w:t>通信与算力</w:t>
            </w:r>
          </w:p>
        </w:tc>
        <w:tc>
          <w:tcPr>
            <w:tcW w:w="4879" w:type="dxa"/>
            <w:tcMar>
              <w:top w:w="150" w:type="dxa"/>
              <w:left w:w="240" w:type="dxa"/>
              <w:bottom w:w="150" w:type="dxa"/>
              <w:right w:w="0" w:type="dxa"/>
            </w:tcMar>
            <w:vAlign w:val="center"/>
          </w:tcPr>
          <w:p w14:paraId="548F7696">
            <w:pPr>
              <w:spacing w:line="400" w:lineRule="auto"/>
              <w:ind w:firstLine="460"/>
              <w:rPr>
                <w:rFonts w:hint="eastAsia"/>
                <w:b w:val="0"/>
                <w:bCs w:val="0"/>
                <w:color w:val="auto"/>
                <w:sz w:val="23"/>
              </w:rPr>
            </w:pPr>
            <w:r>
              <w:rPr>
                <w:rFonts w:hint="eastAsia"/>
                <w:b w:val="0"/>
                <w:bCs w:val="0"/>
                <w:color w:val="auto"/>
                <w:sz w:val="23"/>
              </w:rPr>
              <w:t>wifi6</w:t>
            </w:r>
            <w:r>
              <w:rPr>
                <w:b w:val="0"/>
                <w:bCs w:val="0"/>
                <w:color w:val="auto"/>
                <w:sz w:val="23"/>
              </w:rPr>
              <w:t>模块×1；麦克风×1；扬声器×1；</w:t>
            </w:r>
            <w:r>
              <w:rPr>
                <w:rFonts w:hint="eastAsia"/>
                <w:b w:val="0"/>
                <w:bCs w:val="0"/>
                <w:color w:val="auto"/>
                <w:sz w:val="23"/>
              </w:rPr>
              <w:t>算力不小于100Tops</w:t>
            </w:r>
            <w:r>
              <w:rPr>
                <w:b w:val="0"/>
                <w:bCs w:val="0"/>
                <w:color w:val="auto"/>
                <w:sz w:val="23"/>
              </w:rPr>
              <w:t>。</w:t>
            </w:r>
          </w:p>
        </w:tc>
      </w:tr>
      <w:tr w14:paraId="506F0B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6" w:type="dxa"/>
            <w:tcMar>
              <w:top w:w="150" w:type="dxa"/>
              <w:left w:w="0" w:type="dxa"/>
              <w:bottom w:w="150" w:type="dxa"/>
              <w:right w:w="240" w:type="dxa"/>
            </w:tcMar>
            <w:vAlign w:val="center"/>
          </w:tcPr>
          <w:p w14:paraId="10AC9B96">
            <w:pPr>
              <w:spacing w:line="400" w:lineRule="auto"/>
              <w:ind w:firstLine="460"/>
              <w:rPr>
                <w:rFonts w:hint="eastAsia"/>
                <w:b w:val="0"/>
                <w:bCs w:val="0"/>
                <w:color w:val="auto"/>
                <w:sz w:val="23"/>
              </w:rPr>
            </w:pPr>
            <w:r>
              <w:rPr>
                <w:rFonts w:hint="eastAsia"/>
                <w:b w:val="0"/>
                <w:bCs w:val="0"/>
                <w:color w:val="auto"/>
                <w:sz w:val="23"/>
              </w:rPr>
              <w:t>5</w:t>
            </w:r>
          </w:p>
        </w:tc>
        <w:tc>
          <w:tcPr>
            <w:tcW w:w="2136" w:type="dxa"/>
            <w:tcMar>
              <w:top w:w="150" w:type="dxa"/>
              <w:left w:w="240" w:type="dxa"/>
              <w:bottom w:w="150" w:type="dxa"/>
              <w:right w:w="240" w:type="dxa"/>
            </w:tcMar>
            <w:vAlign w:val="center"/>
          </w:tcPr>
          <w:p w14:paraId="48D97A1F">
            <w:pPr>
              <w:spacing w:line="400" w:lineRule="auto"/>
              <w:ind w:firstLine="460"/>
              <w:rPr>
                <w:rFonts w:hint="eastAsia"/>
                <w:b w:val="0"/>
                <w:bCs w:val="0"/>
                <w:color w:val="auto"/>
                <w:sz w:val="23"/>
              </w:rPr>
            </w:pPr>
            <w:r>
              <w:rPr>
                <w:b w:val="0"/>
                <w:bCs w:val="0"/>
                <w:color w:val="auto"/>
                <w:sz w:val="23"/>
              </w:rPr>
              <w:t>配件</w:t>
            </w:r>
          </w:p>
        </w:tc>
        <w:tc>
          <w:tcPr>
            <w:tcW w:w="4879" w:type="dxa"/>
            <w:tcMar>
              <w:top w:w="150" w:type="dxa"/>
              <w:left w:w="240" w:type="dxa"/>
              <w:bottom w:w="150" w:type="dxa"/>
              <w:right w:w="0" w:type="dxa"/>
            </w:tcMar>
            <w:vAlign w:val="center"/>
          </w:tcPr>
          <w:p w14:paraId="5A2ECCAE">
            <w:pPr>
              <w:spacing w:line="400" w:lineRule="auto"/>
              <w:ind w:firstLine="460"/>
              <w:rPr>
                <w:rFonts w:hint="eastAsia"/>
                <w:b w:val="0"/>
                <w:bCs w:val="0"/>
                <w:color w:val="auto"/>
                <w:sz w:val="23"/>
              </w:rPr>
            </w:pPr>
            <w:r>
              <w:rPr>
                <w:rFonts w:hint="eastAsia"/>
                <w:b w:val="0"/>
                <w:bCs w:val="0"/>
                <w:color w:val="auto"/>
                <w:sz w:val="23"/>
              </w:rPr>
              <w:t>充电器（用于整机充电）；电池1个（可快拆）；遥控器（用于遥控机器人行走）；支持配置五指灵巧手，含触觉感知：压力，摩擦力，方向等；</w:t>
            </w:r>
          </w:p>
        </w:tc>
      </w:tr>
      <w:tr w14:paraId="465D36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6" w:type="dxa"/>
            <w:tcMar>
              <w:top w:w="150" w:type="dxa"/>
              <w:left w:w="0" w:type="dxa"/>
              <w:bottom w:w="150" w:type="dxa"/>
              <w:right w:w="240" w:type="dxa"/>
            </w:tcMar>
            <w:vAlign w:val="center"/>
          </w:tcPr>
          <w:p w14:paraId="4F2284BD">
            <w:pPr>
              <w:spacing w:line="400" w:lineRule="auto"/>
              <w:ind w:firstLine="460"/>
              <w:rPr>
                <w:rFonts w:hint="eastAsia"/>
                <w:b w:val="0"/>
                <w:bCs w:val="0"/>
                <w:color w:val="auto"/>
                <w:sz w:val="23"/>
              </w:rPr>
            </w:pPr>
            <w:r>
              <w:rPr>
                <w:rFonts w:hint="eastAsia"/>
                <w:b w:val="0"/>
                <w:bCs w:val="0"/>
                <w:color w:val="auto"/>
                <w:sz w:val="23"/>
              </w:rPr>
              <w:t>6</w:t>
            </w:r>
          </w:p>
        </w:tc>
        <w:tc>
          <w:tcPr>
            <w:tcW w:w="2136" w:type="dxa"/>
            <w:tcMar>
              <w:top w:w="150" w:type="dxa"/>
              <w:left w:w="240" w:type="dxa"/>
              <w:bottom w:w="150" w:type="dxa"/>
              <w:right w:w="240" w:type="dxa"/>
            </w:tcMar>
            <w:vAlign w:val="center"/>
          </w:tcPr>
          <w:p w14:paraId="7A4B2524">
            <w:pPr>
              <w:spacing w:line="400" w:lineRule="auto"/>
              <w:ind w:firstLine="460"/>
              <w:rPr>
                <w:rFonts w:hint="eastAsia"/>
                <w:b w:val="0"/>
                <w:bCs w:val="0"/>
                <w:color w:val="auto"/>
                <w:sz w:val="23"/>
              </w:rPr>
            </w:pPr>
            <w:r>
              <w:rPr>
                <w:rFonts w:hint="eastAsia"/>
                <w:b w:val="0"/>
                <w:bCs w:val="0"/>
                <w:color w:val="auto"/>
                <w:sz w:val="23"/>
              </w:rPr>
              <w:t>其他</w:t>
            </w:r>
          </w:p>
        </w:tc>
        <w:tc>
          <w:tcPr>
            <w:tcW w:w="4879" w:type="dxa"/>
            <w:tcMar>
              <w:top w:w="150" w:type="dxa"/>
              <w:left w:w="240" w:type="dxa"/>
              <w:bottom w:w="150" w:type="dxa"/>
              <w:right w:w="0" w:type="dxa"/>
            </w:tcMar>
            <w:vAlign w:val="center"/>
          </w:tcPr>
          <w:p w14:paraId="2FDCD828">
            <w:pPr>
              <w:spacing w:line="400" w:lineRule="auto"/>
              <w:ind w:firstLine="460"/>
              <w:rPr>
                <w:rFonts w:hint="eastAsia"/>
                <w:b w:val="0"/>
                <w:bCs w:val="0"/>
                <w:color w:val="auto"/>
                <w:sz w:val="23"/>
              </w:rPr>
            </w:pPr>
            <w:r>
              <w:rPr>
                <w:b w:val="0"/>
                <w:bCs w:val="0"/>
                <w:color w:val="auto"/>
                <w:sz w:val="23"/>
              </w:rPr>
              <w:t>支持智能OTA升级；支持二次开发。</w:t>
            </w:r>
          </w:p>
        </w:tc>
      </w:tr>
    </w:tbl>
    <w:p w14:paraId="2B1718F5">
      <w:pPr>
        <w:pStyle w:val="6"/>
        <w:spacing w:before="240" w:after="240" w:line="240" w:lineRule="auto"/>
        <w:rPr>
          <w:rFonts w:hint="eastAsia" w:ascii="宋体" w:hAnsi="宋体" w:eastAsia="宋体" w:cs="宋体"/>
        </w:rPr>
      </w:pPr>
      <w:r>
        <w:rPr>
          <w:rFonts w:hint="eastAsia" w:ascii="宋体" w:hAnsi="宋体" w:eastAsia="宋体" w:cs="宋体"/>
          <w:color w:val="0F1115"/>
          <w:shd w:val="clear" w:color="auto" w:fill="FFFFFF"/>
        </w:rPr>
        <w:t>3.1.6. 配套设备-人形机器人专用电池</w:t>
      </w:r>
    </w:p>
    <w:p w14:paraId="30253750">
      <w:pPr>
        <w:pStyle w:val="80"/>
        <w:spacing w:line="360" w:lineRule="auto"/>
        <w:ind w:firstLine="420" w:firstLineChars="0"/>
        <w:rPr>
          <w:rFonts w:hint="eastAsia" w:ascii="宋体" w:hAnsi="宋体" w:cs="宋体"/>
        </w:rPr>
      </w:pPr>
      <w:r>
        <w:rPr>
          <w:rFonts w:hint="eastAsia" w:ascii="宋体" w:hAnsi="宋体" w:cs="宋体"/>
        </w:rPr>
        <w:t>本电池为“人形机器人-基础导览型、人形机器人-高阶动作型、人形机器人-灵巧操作型”机器人提供动力，预估数量5块。其规格参数要求如下：</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2"/>
        <w:gridCol w:w="2741"/>
        <w:gridCol w:w="4028"/>
      </w:tblGrid>
      <w:tr w14:paraId="270ED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2" w:type="dxa"/>
          </w:tcPr>
          <w:p w14:paraId="1EC7B668">
            <w:pPr>
              <w:spacing w:line="400" w:lineRule="auto"/>
              <w:ind w:firstLine="460"/>
              <w:rPr>
                <w:rFonts w:hint="eastAsia"/>
              </w:rPr>
            </w:pPr>
            <w:r>
              <w:rPr>
                <w:color w:val="000000"/>
                <w:sz w:val="23"/>
              </w:rPr>
              <w:t>序号</w:t>
            </w:r>
          </w:p>
        </w:tc>
        <w:tc>
          <w:tcPr>
            <w:tcW w:w="2741" w:type="dxa"/>
          </w:tcPr>
          <w:p w14:paraId="6EAD6C0D">
            <w:pPr>
              <w:spacing w:line="400" w:lineRule="auto"/>
              <w:ind w:firstLine="460"/>
              <w:rPr>
                <w:rFonts w:hint="eastAsia"/>
              </w:rPr>
            </w:pPr>
            <w:r>
              <w:rPr>
                <w:color w:val="000000"/>
                <w:sz w:val="23"/>
              </w:rPr>
              <w:t>要求类型</w:t>
            </w:r>
          </w:p>
        </w:tc>
        <w:tc>
          <w:tcPr>
            <w:tcW w:w="4028" w:type="dxa"/>
          </w:tcPr>
          <w:p w14:paraId="0E171860">
            <w:pPr>
              <w:spacing w:line="400" w:lineRule="auto"/>
              <w:ind w:firstLine="460"/>
              <w:rPr>
                <w:rFonts w:hint="eastAsia"/>
              </w:rPr>
            </w:pPr>
            <w:r>
              <w:rPr>
                <w:color w:val="000000"/>
                <w:sz w:val="23"/>
              </w:rPr>
              <w:t>规格参数要求</w:t>
            </w:r>
          </w:p>
        </w:tc>
      </w:tr>
      <w:tr w14:paraId="6E665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2" w:type="dxa"/>
          </w:tcPr>
          <w:p w14:paraId="7EBB9C9B">
            <w:pPr>
              <w:spacing w:line="400" w:lineRule="auto"/>
              <w:ind w:firstLine="460"/>
              <w:rPr>
                <w:rFonts w:hint="eastAsia"/>
              </w:rPr>
            </w:pPr>
            <w:r>
              <w:rPr>
                <w:color w:val="000000"/>
                <w:sz w:val="23"/>
              </w:rPr>
              <w:t>1</w:t>
            </w:r>
          </w:p>
        </w:tc>
        <w:tc>
          <w:tcPr>
            <w:tcW w:w="2741" w:type="dxa"/>
          </w:tcPr>
          <w:p w14:paraId="7E73D4F9">
            <w:pPr>
              <w:spacing w:line="400" w:lineRule="auto"/>
              <w:ind w:firstLine="460"/>
              <w:rPr>
                <w:rFonts w:hint="eastAsia"/>
              </w:rPr>
            </w:pPr>
            <w:r>
              <w:rPr>
                <w:color w:val="000000"/>
                <w:sz w:val="23"/>
              </w:rPr>
              <w:t>电池容量</w:t>
            </w:r>
          </w:p>
        </w:tc>
        <w:tc>
          <w:tcPr>
            <w:tcW w:w="4028" w:type="dxa"/>
          </w:tcPr>
          <w:p w14:paraId="3CBE5F99">
            <w:pPr>
              <w:spacing w:line="400" w:lineRule="auto"/>
              <w:ind w:firstLine="460"/>
              <w:rPr>
                <w:rFonts w:hint="eastAsia"/>
              </w:rPr>
            </w:pPr>
            <w:r>
              <w:rPr>
                <w:color w:val="000000"/>
                <w:sz w:val="23"/>
              </w:rPr>
              <w:t>额定容量≥9000mAh。</w:t>
            </w:r>
          </w:p>
        </w:tc>
      </w:tr>
      <w:tr w14:paraId="248D7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2" w:type="dxa"/>
          </w:tcPr>
          <w:p w14:paraId="67080E78">
            <w:pPr>
              <w:spacing w:line="400" w:lineRule="auto"/>
              <w:ind w:firstLine="460"/>
              <w:rPr>
                <w:rFonts w:hint="eastAsia"/>
              </w:rPr>
            </w:pPr>
            <w:r>
              <w:rPr>
                <w:color w:val="000000"/>
                <w:sz w:val="23"/>
              </w:rPr>
              <w:t>2</w:t>
            </w:r>
          </w:p>
        </w:tc>
        <w:tc>
          <w:tcPr>
            <w:tcW w:w="2741" w:type="dxa"/>
          </w:tcPr>
          <w:p w14:paraId="3B201265">
            <w:pPr>
              <w:spacing w:line="400" w:lineRule="auto"/>
              <w:ind w:firstLine="460"/>
              <w:rPr>
                <w:rFonts w:hint="eastAsia"/>
              </w:rPr>
            </w:pPr>
            <w:r>
              <w:rPr>
                <w:color w:val="000000"/>
                <w:sz w:val="23"/>
              </w:rPr>
              <w:t>电池管理</w:t>
            </w:r>
          </w:p>
        </w:tc>
        <w:tc>
          <w:tcPr>
            <w:tcW w:w="4028" w:type="dxa"/>
          </w:tcPr>
          <w:p w14:paraId="586E8FBF">
            <w:pPr>
              <w:spacing w:line="400" w:lineRule="auto"/>
              <w:ind w:firstLine="460"/>
              <w:rPr>
                <w:rFonts w:hint="eastAsia"/>
              </w:rPr>
            </w:pPr>
            <w:r>
              <w:rPr>
                <w:color w:val="000000"/>
                <w:sz w:val="23"/>
              </w:rPr>
              <w:t>搭载自研电池管理系统（BMS），具备电量显示、过充电保护、过放电保护、短路保护等功能。</w:t>
            </w:r>
          </w:p>
        </w:tc>
      </w:tr>
      <w:tr w14:paraId="280C8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2" w:type="dxa"/>
          </w:tcPr>
          <w:p w14:paraId="613B7634">
            <w:pPr>
              <w:spacing w:line="400" w:lineRule="auto"/>
              <w:ind w:firstLine="460"/>
              <w:rPr>
                <w:rFonts w:hint="eastAsia"/>
              </w:rPr>
            </w:pPr>
            <w:r>
              <w:rPr>
                <w:color w:val="000000"/>
                <w:sz w:val="23"/>
              </w:rPr>
              <w:t>3</w:t>
            </w:r>
          </w:p>
        </w:tc>
        <w:tc>
          <w:tcPr>
            <w:tcW w:w="2741" w:type="dxa"/>
          </w:tcPr>
          <w:p w14:paraId="4132A532">
            <w:pPr>
              <w:spacing w:line="400" w:lineRule="auto"/>
              <w:ind w:firstLine="460"/>
              <w:rPr>
                <w:rFonts w:hint="eastAsia"/>
              </w:rPr>
            </w:pPr>
            <w:r>
              <w:rPr>
                <w:color w:val="000000"/>
                <w:sz w:val="23"/>
              </w:rPr>
              <w:t>物理尺寸</w:t>
            </w:r>
          </w:p>
        </w:tc>
        <w:tc>
          <w:tcPr>
            <w:tcW w:w="4028" w:type="dxa"/>
          </w:tcPr>
          <w:p w14:paraId="4EF8561D">
            <w:pPr>
              <w:spacing w:line="400" w:lineRule="auto"/>
              <w:ind w:firstLine="460"/>
              <w:rPr>
                <w:rFonts w:hint="eastAsia"/>
              </w:rPr>
            </w:pPr>
            <w:r>
              <w:rPr>
                <w:color w:val="000000"/>
                <w:sz w:val="23"/>
              </w:rPr>
              <w:t>尺寸≤120mm×80mm×182mm。</w:t>
            </w:r>
          </w:p>
        </w:tc>
      </w:tr>
    </w:tbl>
    <w:p w14:paraId="038CFE87">
      <w:pPr>
        <w:pStyle w:val="5"/>
        <w:spacing w:before="240" w:after="240" w:line="240" w:lineRule="auto"/>
        <w:rPr>
          <w:rFonts w:hint="eastAsia" w:ascii="宋体" w:hAnsi="宋体" w:eastAsia="宋体" w:cs="宋体"/>
        </w:rPr>
      </w:pPr>
      <w:r>
        <w:rPr>
          <w:rFonts w:hint="eastAsia" w:ascii="宋体" w:hAnsi="宋体" w:eastAsia="宋体" w:cs="宋体"/>
          <w:color w:val="0F1115"/>
          <w:shd w:val="clear" w:color="auto" w:fill="FFFFFF"/>
        </w:rPr>
        <w:t>3.2. 设备规格要求</w:t>
      </w:r>
    </w:p>
    <w:p w14:paraId="530D441A">
      <w:pPr>
        <w:pStyle w:val="80"/>
        <w:spacing w:line="360" w:lineRule="auto"/>
        <w:ind w:firstLine="420" w:firstLineChars="0"/>
        <w:rPr>
          <w:rFonts w:hint="eastAsia" w:ascii="宋体" w:hAnsi="宋体" w:cs="宋体"/>
        </w:rPr>
      </w:pPr>
      <w:r>
        <w:rPr>
          <w:rFonts w:hint="eastAsia" w:ascii="宋体" w:hAnsi="宋体" w:cs="宋体"/>
        </w:rPr>
        <w:t>基本规格符合性：所有设备必须严格满足章节3.1中列出的每一项技术参数。</w:t>
      </w:r>
    </w:p>
    <w:p w14:paraId="3EFA8917">
      <w:pPr>
        <w:pStyle w:val="80"/>
        <w:spacing w:line="360" w:lineRule="auto"/>
        <w:ind w:firstLine="420" w:firstLineChars="0"/>
        <w:rPr>
          <w:rFonts w:hint="eastAsia" w:ascii="宋体" w:hAnsi="宋体" w:cs="宋体"/>
        </w:rPr>
      </w:pPr>
      <w:r>
        <w:rPr>
          <w:rFonts w:hint="eastAsia" w:ascii="宋体" w:hAnsi="宋体" w:cs="宋体"/>
        </w:rPr>
        <w:t>证明文件为产品文档：必须提供完整的产品规格说明书、用户手册、API/SDK开发文档。</w:t>
      </w:r>
    </w:p>
    <w:p w14:paraId="2C6A038F">
      <w:pPr>
        <w:pStyle w:val="5"/>
        <w:spacing w:before="240" w:after="240" w:line="240" w:lineRule="auto"/>
        <w:rPr>
          <w:rFonts w:hint="eastAsia" w:ascii="宋体" w:hAnsi="宋体" w:eastAsia="宋体" w:cs="宋体"/>
        </w:rPr>
      </w:pPr>
      <w:r>
        <w:rPr>
          <w:rFonts w:hint="eastAsia" w:ascii="宋体" w:hAnsi="宋体" w:eastAsia="宋体" w:cs="宋体"/>
          <w:color w:val="0F1115"/>
          <w:shd w:val="clear" w:color="auto" w:fill="FFFFFF"/>
        </w:rPr>
        <w:t>3.3. 绿色节能</w:t>
      </w:r>
    </w:p>
    <w:p w14:paraId="7A17545F">
      <w:pPr>
        <w:pStyle w:val="80"/>
        <w:spacing w:line="360" w:lineRule="auto"/>
        <w:ind w:firstLine="420" w:firstLineChars="0"/>
        <w:rPr>
          <w:rFonts w:hint="eastAsia" w:ascii="宋体" w:hAnsi="宋体" w:cs="宋体"/>
        </w:rPr>
      </w:pPr>
      <w:r>
        <w:rPr>
          <w:rFonts w:hint="eastAsia" w:ascii="宋体" w:hAnsi="宋体" w:cs="宋体"/>
        </w:rPr>
        <w:t>在绿色节能方面，供应商应充分考虑产品的维修性和升级性，延长其使用寿命；对产品设计应考虑回收利用的空间。产品应采用可拆卸和可升级设计，便于拆解和回收；应采用可降解、可回收或使用环保材料的包装，减少不必要的包装材料使用。</w:t>
      </w:r>
    </w:p>
    <w:bookmarkEnd w:id="36"/>
    <w:bookmarkEnd w:id="37"/>
    <w:p w14:paraId="6C0CAF07">
      <w:pPr>
        <w:ind w:firstLine="480"/>
        <w:rPr>
          <w:rFonts w:hint="eastAsia"/>
        </w:rPr>
      </w:pPr>
      <w:bookmarkStart w:id="43" w:name="_Toc303882633"/>
      <w:bookmarkStart w:id="44" w:name="_Toc269302055"/>
      <w:bookmarkStart w:id="45" w:name="_Toc437403417"/>
      <w:bookmarkStart w:id="46" w:name="_Toc269300693"/>
      <w:bookmarkStart w:id="47" w:name="_Toc470578356"/>
      <w:bookmarkStart w:id="48" w:name="_Toc473457301"/>
      <w:bookmarkStart w:id="49" w:name="_Toc474200786"/>
      <w:bookmarkStart w:id="50" w:name="_Toc329873629"/>
      <w:bookmarkStart w:id="51" w:name="_Toc473452607"/>
      <w:bookmarkStart w:id="52" w:name="_Toc473452708"/>
      <w:bookmarkStart w:id="53" w:name="_Toc325287933"/>
      <w:bookmarkStart w:id="54" w:name="_Toc473453811"/>
      <w:bookmarkStart w:id="55" w:name="_Toc473948302"/>
      <w:bookmarkStart w:id="56" w:name="_Toc303882640"/>
      <w:bookmarkStart w:id="57" w:name="_Toc441034174"/>
      <w:bookmarkStart w:id="58" w:name="_Toc500310453"/>
      <w:bookmarkStart w:id="59" w:name="_Toc502473703"/>
      <w:bookmarkStart w:id="60" w:name="_Toc500482805"/>
      <w:bookmarkStart w:id="61" w:name="_Toc514597452"/>
      <w:bookmarkStart w:id="62" w:name="_Toc270839037"/>
      <w:bookmarkStart w:id="63" w:name="_Toc514597266"/>
      <w:bookmarkStart w:id="64" w:name="_Toc502473408"/>
      <w:bookmarkStart w:id="65" w:name="_Toc514912216"/>
      <w:bookmarkStart w:id="66" w:name="_Toc324423638"/>
      <w:bookmarkStart w:id="67" w:name="_Toc514912514"/>
      <w:bookmarkStart w:id="68" w:name="_Toc514912281"/>
    </w:p>
    <w:p w14:paraId="3DA39CC0">
      <w:pPr>
        <w:pStyle w:val="2"/>
        <w:numPr>
          <w:ilvl w:val="0"/>
          <w:numId w:val="1"/>
        </w:numPr>
        <w:spacing w:before="100" w:beforeAutospacing="1" w:after="100" w:afterAutospacing="1" w:line="360" w:lineRule="auto"/>
        <w:rPr>
          <w:rFonts w:hint="eastAsia" w:ascii="宋体" w:hAnsi="宋体" w:eastAsia="宋体" w:cs="宋体"/>
          <w:sz w:val="36"/>
          <w:lang w:eastAsia="zh-Hans"/>
        </w:rPr>
      </w:pPr>
      <w:bookmarkStart w:id="69" w:name="_Toc2072137378"/>
      <w:r>
        <w:rPr>
          <w:rFonts w:hint="eastAsia" w:ascii="宋体" w:hAnsi="宋体" w:eastAsia="宋体" w:cs="宋体"/>
          <w:sz w:val="36"/>
        </w:rPr>
        <w:t>服务要求</w:t>
      </w:r>
      <w:bookmarkEnd w:id="69"/>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48C1394E">
      <w:pPr>
        <w:pStyle w:val="3"/>
        <w:numPr>
          <w:ilvl w:val="1"/>
          <w:numId w:val="1"/>
        </w:numPr>
      </w:pPr>
      <w:bookmarkStart w:id="70" w:name="_Toc670608647"/>
      <w:bookmarkStart w:id="71" w:name="_Toc269300694"/>
      <w:bookmarkStart w:id="72" w:name="_Toc350728853"/>
      <w:bookmarkStart w:id="73" w:name="_Toc329873632"/>
      <w:bookmarkStart w:id="74" w:name="_Toc453772607"/>
      <w:bookmarkStart w:id="75" w:name="_Toc269302056"/>
      <w:bookmarkStart w:id="76" w:name="_Toc303882642"/>
      <w:bookmarkStart w:id="77" w:name="_Toc132117443"/>
      <w:r>
        <w:rPr>
          <w:rFonts w:hint="eastAsia"/>
        </w:rPr>
        <w:t>培训</w:t>
      </w:r>
      <w:bookmarkEnd w:id="70"/>
    </w:p>
    <w:p w14:paraId="37C05115">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卖方需提供针对买方技术人员、操作人员及维护人员的全方位培训。</w:t>
      </w:r>
    </w:p>
    <w:p w14:paraId="67F3741C">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培训内容：设备原理与结构、安全操作规程、日常维护保养、故障诊断与排除、基础编程与二次开发接口使用。</w:t>
      </w:r>
    </w:p>
    <w:p w14:paraId="01BA3C14">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培训对象与时间：提供不少于16学时的现场集中培训。</w:t>
      </w:r>
    </w:p>
    <w:p w14:paraId="609F7FF0">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交付物：提供完整的、中文编写的培训教材、操作手册及培训记录。</w:t>
      </w:r>
    </w:p>
    <w:p w14:paraId="61FC0EA0">
      <w:pPr>
        <w:pStyle w:val="3"/>
        <w:numPr>
          <w:ilvl w:val="1"/>
          <w:numId w:val="1"/>
        </w:numPr>
      </w:pPr>
      <w:bookmarkStart w:id="78" w:name="_Toc925350673"/>
      <w:r>
        <w:rPr>
          <w:rFonts w:hint="eastAsia"/>
        </w:rPr>
        <w:t>系统安装、调试</w:t>
      </w:r>
      <w:bookmarkEnd w:id="78"/>
    </w:p>
    <w:p w14:paraId="1DCA0B4F">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卖方负责所有设备在买方指定地点的卸货、搬运、就位安装。</w:t>
      </w:r>
    </w:p>
    <w:p w14:paraId="6B20A0DA">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责完成所有设备的电气连接、网络配置、参数初始化及单机功能调试。</w:t>
      </w:r>
    </w:p>
    <w:p w14:paraId="5DC7AC27">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负责提供安装调试所需的专用工具、测试仪器及耗材。</w:t>
      </w:r>
    </w:p>
    <w:p w14:paraId="50242FCE">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安装调试过程应符合现场安全规范，保持环境整洁。</w:t>
      </w:r>
    </w:p>
    <w:p w14:paraId="174AD14C">
      <w:pPr>
        <w:pStyle w:val="3"/>
        <w:numPr>
          <w:ilvl w:val="1"/>
          <w:numId w:val="1"/>
        </w:numPr>
      </w:pPr>
      <w:bookmarkStart w:id="79" w:name="_Toc292189537"/>
      <w:r>
        <w:rPr>
          <w:rFonts w:hint="eastAsia"/>
        </w:rPr>
        <w:t>系统集成</w:t>
      </w:r>
      <w:bookmarkEnd w:id="79"/>
    </w:p>
    <w:p w14:paraId="2C4C13D2">
      <w:pPr>
        <w:pStyle w:val="4"/>
      </w:pPr>
      <w:bookmarkStart w:id="80" w:name="_Toc1681931317"/>
      <w:r>
        <w:rPr>
          <w:rFonts w:hint="eastAsia"/>
        </w:rPr>
        <w:t>4.3.1集成工作协调</w:t>
      </w:r>
      <w:bookmarkEnd w:id="80"/>
    </w:p>
    <w:p w14:paraId="7DA13681">
      <w:pPr>
        <w:spacing w:line="360" w:lineRule="auto"/>
        <w:ind w:firstLine="480"/>
        <w:rPr>
          <w:rFonts w:hint="eastAsia"/>
          <w:bCs/>
          <w:color w:val="FF0000"/>
        </w:rPr>
      </w:pPr>
      <w:r>
        <w:rPr>
          <w:rFonts w:hint="eastAsia"/>
          <w:bCs/>
          <w:color w:val="000000" w:themeColor="text1"/>
          <w14:textFill>
            <w14:solidFill>
              <w14:schemeClr w14:val="tx1"/>
            </w14:solidFill>
          </w14:textFill>
        </w:rPr>
        <w:t>卖方作为硬件集成总负责方，需协调自身及各配套设备供应商，确保所有设备兼容、联动正常，并对整体硬件系统的交付质量负责。</w:t>
      </w:r>
    </w:p>
    <w:p w14:paraId="2CB4DD30">
      <w:pPr>
        <w:pStyle w:val="4"/>
      </w:pPr>
      <w:bookmarkStart w:id="81" w:name="_Toc892399358"/>
      <w:r>
        <w:rPr>
          <w:rFonts w:hint="eastAsia"/>
        </w:rPr>
        <w:t>4.3.2集成方案编制</w:t>
      </w:r>
      <w:bookmarkEnd w:id="81"/>
    </w:p>
    <w:p w14:paraId="31964AB0">
      <w:pPr>
        <w:spacing w:line="360" w:lineRule="auto"/>
        <w:ind w:firstLine="480"/>
        <w:rPr>
          <w:rFonts w:hint="eastAsia"/>
          <w:bCs/>
          <w:color w:val="000000"/>
        </w:rPr>
      </w:pPr>
      <w:r>
        <w:rPr>
          <w:rFonts w:hint="eastAsia"/>
          <w:bCs/>
          <w:color w:val="000000" w:themeColor="text1"/>
          <w14:textFill>
            <w14:solidFill>
              <w14:schemeClr w14:val="tx1"/>
            </w14:solidFill>
          </w14:textFill>
        </w:rPr>
        <w:t>合同签订后10个工作日内，卖方须提交详细的《系统集成实施方案》，包括调试大纲、验收测试方案等，供买方评审。</w:t>
      </w:r>
    </w:p>
    <w:p w14:paraId="6DBC0A04">
      <w:pPr>
        <w:pStyle w:val="4"/>
      </w:pPr>
      <w:bookmarkStart w:id="82" w:name="_Toc530219258"/>
      <w:r>
        <w:rPr>
          <w:rFonts w:hint="eastAsia"/>
        </w:rPr>
        <w:t>4.3.3集成方案实施</w:t>
      </w:r>
      <w:bookmarkEnd w:id="82"/>
    </w:p>
    <w:p w14:paraId="61D9319D">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系统联调：完成所有设备安装后，进行系统级联调测试，确保：</w:t>
      </w:r>
    </w:p>
    <w:p w14:paraId="64513F1B">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机器人可通过通信模块（5G/4G/WiFi）与管控终端稳定连接。</w:t>
      </w:r>
    </w:p>
    <w:p w14:paraId="1BEEDE4E">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机器人-充电桩对接充电正常</w:t>
      </w:r>
    </w:p>
    <w:p w14:paraId="35D3149A">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远程控制功能（Web页面或客户端）正常。</w:t>
      </w:r>
    </w:p>
    <w:p w14:paraId="7DCA2F9C">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自主任务下发、执行、数据回传流程通畅。</w:t>
      </w:r>
    </w:p>
    <w:p w14:paraId="50916171">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各类传感器数据可正确采集并上报。</w:t>
      </w:r>
    </w:p>
    <w:p w14:paraId="745409EF">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功能验证：依据技术规范书和参数表，逐项验证机器人及配套硬件的各项功能与性能指标。</w:t>
      </w:r>
    </w:p>
    <w:p w14:paraId="570E0684">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交付文档：</w:t>
      </w:r>
      <w:r>
        <w:rPr>
          <w:bCs/>
          <w:color w:val="000000" w:themeColor="text1"/>
          <w14:textFill>
            <w14:solidFill>
              <w14:schemeClr w14:val="tx1"/>
            </w14:solidFill>
          </w14:textFill>
        </w:rPr>
        <w:t>集成实施结束后，提供完整的竣工资料，包括但不限于安装报告、调试日志、系统配置清单、最终版技术图纸等</w:t>
      </w:r>
      <w:r>
        <w:rPr>
          <w:rFonts w:hint="eastAsia"/>
          <w:bCs/>
          <w:color w:val="000000" w:themeColor="text1"/>
          <w14:textFill>
            <w14:solidFill>
              <w14:schemeClr w14:val="tx1"/>
            </w14:solidFill>
          </w14:textFill>
        </w:rPr>
        <w:t>。</w:t>
      </w:r>
    </w:p>
    <w:p w14:paraId="501CD6FC">
      <w:pPr>
        <w:pStyle w:val="4"/>
      </w:pPr>
      <w:bookmarkStart w:id="83" w:name="_Toc1485417803"/>
      <w:r>
        <w:rPr>
          <w:rFonts w:hint="eastAsia"/>
        </w:rPr>
        <w:t>4.3.4集成服务内容</w:t>
      </w:r>
      <w:bookmarkEnd w:id="83"/>
    </w:p>
    <w:p w14:paraId="7D706400">
      <w:pPr>
        <w:spacing w:line="360" w:lineRule="auto"/>
        <w:ind w:firstLine="480"/>
        <w:rPr>
          <w:rFonts w:hint="eastAsia"/>
          <w:bCs/>
          <w:color w:val="000000" w:themeColor="text1"/>
          <w14:textFill>
            <w14:solidFill>
              <w14:schemeClr w14:val="tx1"/>
            </w14:solidFill>
          </w14:textFill>
        </w:rPr>
      </w:pPr>
      <w:r>
        <w:rPr>
          <w:bCs/>
          <w:color w:val="000000" w:themeColor="text1"/>
          <w14:textFill>
            <w14:solidFill>
              <w14:schemeClr w14:val="tx1"/>
            </w14:solidFill>
          </w14:textFill>
        </w:rPr>
        <w:t>卖方提供的集成服务应涵盖从设备到货至最终验收的全过程，包括硬件安装、基础软件部署（如机器人自带）、系统调试、功能演示、技术移交等。</w:t>
      </w:r>
    </w:p>
    <w:p w14:paraId="5BB947C3">
      <w:pPr>
        <w:pStyle w:val="3"/>
        <w:numPr>
          <w:ilvl w:val="1"/>
          <w:numId w:val="1"/>
        </w:numPr>
      </w:pPr>
      <w:bookmarkStart w:id="84" w:name="_Toc919618646"/>
      <w:r>
        <w:rPr>
          <w:rFonts w:hint="eastAsia"/>
        </w:rPr>
        <w:t>验收</w:t>
      </w:r>
      <w:bookmarkEnd w:id="84"/>
    </w:p>
    <w:p w14:paraId="6E02F61A">
      <w:pPr>
        <w:pStyle w:val="4"/>
      </w:pPr>
      <w:bookmarkStart w:id="85" w:name="_Toc590775863"/>
      <w:r>
        <w:rPr>
          <w:rFonts w:hint="eastAsia"/>
        </w:rPr>
        <w:t>4.4.1到货验收</w:t>
      </w:r>
      <w:bookmarkEnd w:id="85"/>
    </w:p>
    <w:p w14:paraId="02A843BA">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全部货物运抵买方指定地点后，买方应在30个工作日内进行到货验收。验收内容包括但不限于：核对货物包装、型号、规格、数量是否与合同及装箱单一致；检查货物外观是否有明显破损或缺陷。验收合格后，双方签署《到货验收单》。</w:t>
      </w:r>
    </w:p>
    <w:p w14:paraId="0C3AE8DA">
      <w:pPr>
        <w:pStyle w:val="4"/>
      </w:pPr>
      <w:bookmarkStart w:id="86" w:name="_Toc1353029360"/>
      <w:r>
        <w:rPr>
          <w:rFonts w:hint="eastAsia"/>
        </w:rPr>
        <w:t>4.4.2</w:t>
      </w:r>
      <w:r>
        <w:t>竣工验收</w:t>
      </w:r>
      <w:bookmarkEnd w:id="86"/>
    </w:p>
    <w:p w14:paraId="4B03A21A">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到货验收</w:t>
      </w:r>
      <w:r>
        <w:rPr>
          <w:bCs/>
          <w:color w:val="000000" w:themeColor="text1"/>
          <w14:textFill>
            <w14:solidFill>
              <w14:schemeClr w14:val="tx1"/>
            </w14:solidFill>
          </w14:textFill>
        </w:rPr>
        <w:t>通过后，项目进入为期一个月的观察期。观察期内，设备在买方正常使用条件下运行。观察期满，如设备运行稳定，未出现因产品质量导致的重大故障，且所有随货资料、培训均已交付完成，双方签署《最终验收报告》，项目质保期随即开始。</w:t>
      </w:r>
    </w:p>
    <w:p w14:paraId="656EA509">
      <w:pPr>
        <w:pStyle w:val="3"/>
        <w:numPr>
          <w:ilvl w:val="1"/>
          <w:numId w:val="1"/>
        </w:numPr>
      </w:pPr>
      <w:bookmarkStart w:id="87" w:name="_Toc660115437"/>
      <w:r>
        <w:rPr>
          <w:rFonts w:hint="eastAsia"/>
        </w:rPr>
        <w:t>售后及技术服务要求</w:t>
      </w:r>
      <w:bookmarkEnd w:id="87"/>
    </w:p>
    <w:p w14:paraId="60BE46E0">
      <w:pPr>
        <w:pStyle w:val="4"/>
      </w:pPr>
      <w:bookmarkStart w:id="88" w:name="_Toc659629257"/>
      <w:r>
        <w:rPr>
          <w:rFonts w:hint="eastAsia"/>
        </w:rPr>
        <w:t>4.5.1售后与技术服务描述</w:t>
      </w:r>
      <w:bookmarkEnd w:id="88"/>
    </w:p>
    <w:p w14:paraId="7EB1DBD5">
      <w:pPr>
        <w:pStyle w:val="15"/>
        <w:numPr>
          <w:ilvl w:val="0"/>
          <w:numId w:val="2"/>
        </w:numPr>
        <w:autoSpaceDE w:val="0"/>
        <w:autoSpaceDN w:val="0"/>
        <w:adjustRightInd w:val="0"/>
        <w:spacing w:before="100" w:beforeAutospacing="1" w:after="0" w:line="360" w:lineRule="auto"/>
        <w:ind w:leftChars="0"/>
        <w:textAlignment w:val="baseline"/>
        <w:rPr>
          <w:rFonts w:hint="eastAsia"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乙方应根据甲方要求，在甲方要求的时间内完成设备使用前所需的技术支持、软件使用培训、测试培训等工作。</w:t>
      </w:r>
    </w:p>
    <w:p w14:paraId="084B8021">
      <w:pPr>
        <w:pStyle w:val="15"/>
        <w:numPr>
          <w:ilvl w:val="0"/>
          <w:numId w:val="2"/>
        </w:numPr>
        <w:autoSpaceDE w:val="0"/>
        <w:autoSpaceDN w:val="0"/>
        <w:adjustRightInd w:val="0"/>
        <w:spacing w:before="100" w:beforeAutospacing="1" w:after="0" w:line="360" w:lineRule="auto"/>
        <w:ind w:leftChars="0"/>
        <w:textAlignment w:val="baseline"/>
        <w:rPr>
          <w:rFonts w:hint="eastAsia"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乙方应具备完善的研发体系、高效的研发管理流程，并配置合理的技术团队和资源，以保证其技术支撑能力满足用户需求。</w:t>
      </w:r>
    </w:p>
    <w:p w14:paraId="537F2E4E">
      <w:pPr>
        <w:pStyle w:val="15"/>
        <w:numPr>
          <w:ilvl w:val="0"/>
          <w:numId w:val="2"/>
        </w:numPr>
        <w:autoSpaceDE w:val="0"/>
        <w:autoSpaceDN w:val="0"/>
        <w:adjustRightInd w:val="0"/>
        <w:spacing w:before="100" w:beforeAutospacing="1" w:after="0" w:line="360" w:lineRule="auto"/>
        <w:ind w:leftChars="0"/>
        <w:textAlignment w:val="baseline"/>
        <w:rPr>
          <w:rFonts w:hint="eastAsia"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乙方应按照甲方要求安排相关人员进行技术培训。</w:t>
      </w:r>
    </w:p>
    <w:p w14:paraId="512048A4">
      <w:pPr>
        <w:pStyle w:val="15"/>
        <w:numPr>
          <w:ilvl w:val="0"/>
          <w:numId w:val="2"/>
        </w:numPr>
        <w:autoSpaceDE w:val="0"/>
        <w:autoSpaceDN w:val="0"/>
        <w:adjustRightInd w:val="0"/>
        <w:spacing w:before="100" w:beforeAutospacing="1" w:after="0" w:line="360" w:lineRule="auto"/>
        <w:ind w:leftChars="0"/>
        <w:textAlignment w:val="baseline"/>
        <w:rPr>
          <w:rFonts w:hint="eastAsia"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乙方应在后续服务过程中，按甲方要求进行产品升级与维护。</w:t>
      </w:r>
    </w:p>
    <w:p w14:paraId="5E8FA167">
      <w:pPr>
        <w:pStyle w:val="15"/>
        <w:numPr>
          <w:ilvl w:val="0"/>
          <w:numId w:val="2"/>
        </w:numPr>
        <w:autoSpaceDE w:val="0"/>
        <w:autoSpaceDN w:val="0"/>
        <w:adjustRightInd w:val="0"/>
        <w:spacing w:before="100" w:beforeAutospacing="1" w:after="0" w:line="360" w:lineRule="auto"/>
        <w:ind w:leftChars="0"/>
        <w:textAlignment w:val="baseline"/>
        <w:rPr>
          <w:rFonts w:hint="eastAsia"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免费为甲方提供服务咨询。</w:t>
      </w:r>
    </w:p>
    <w:p w14:paraId="472FE6DA">
      <w:pPr>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乙方负责对甲方进行技术培训，并建立技术支持热线，实施24小时技术支持服务。</w:t>
      </w:r>
    </w:p>
    <w:p w14:paraId="13B80B65">
      <w:pPr>
        <w:pStyle w:val="4"/>
      </w:pPr>
      <w:bookmarkStart w:id="89" w:name="_Toc1078336585"/>
      <w:r>
        <w:rPr>
          <w:rFonts w:hint="eastAsia"/>
        </w:rPr>
        <w:t>4.5.2质保与维修服务</w:t>
      </w:r>
      <w:bookmarkEnd w:id="89"/>
    </w:p>
    <w:p w14:paraId="1699DF23">
      <w:pPr>
        <w:numPr>
          <w:ilvl w:val="0"/>
          <w:numId w:val="3"/>
        </w:numPr>
        <w:spacing w:before="90" w:after="240"/>
        <w:ind w:firstLine="482"/>
        <w:rPr>
          <w:rFonts w:hint="eastAsia"/>
          <w:b/>
          <w:color w:val="0F1115"/>
          <w:shd w:val="clear" w:color="auto" w:fill="FFFFFF"/>
        </w:rPr>
      </w:pPr>
      <w:r>
        <w:rPr>
          <w:b/>
          <w:color w:val="0F1115"/>
          <w:shd w:val="clear" w:color="auto" w:fill="FFFFFF"/>
        </w:rPr>
        <w:t>质保期划分要求</w:t>
      </w:r>
    </w:p>
    <w:p w14:paraId="2811F318">
      <w:pPr>
        <w:spacing w:line="360" w:lineRule="auto"/>
        <w:ind w:firstLine="480"/>
        <w:rPr>
          <w:rFonts w:hint="eastAsia"/>
          <w:bCs/>
          <w:color w:val="000000" w:themeColor="text1"/>
          <w14:textFill>
            <w14:solidFill>
              <w14:schemeClr w14:val="tx1"/>
            </w14:solidFill>
          </w14:textFill>
        </w:rPr>
      </w:pPr>
      <w:r>
        <w:rPr>
          <w:bCs/>
          <w:color w:val="000000" w:themeColor="text1"/>
          <w14:textFill>
            <w14:solidFill>
              <w14:schemeClr w14:val="tx1"/>
            </w14:solidFill>
          </w14:textFill>
        </w:rPr>
        <w:t>乙方须承诺，对本项目所供全部设备（包括机器人本体、配件），自项目最终验收合格之日起，按以下标准提供免费保修服务：</w:t>
      </w:r>
    </w:p>
    <w:p w14:paraId="53A7AE18">
      <w:pPr>
        <w:spacing w:line="360" w:lineRule="auto"/>
        <w:ind w:firstLine="480"/>
        <w:rPr>
          <w:rFonts w:hint="eastAsia"/>
          <w:bCs/>
          <w:color w:val="FF0000"/>
        </w:rPr>
      </w:pPr>
      <w:r>
        <w:rPr>
          <w:bCs/>
          <w:color w:val="000000" w:themeColor="text1"/>
          <w14:textFill>
            <w14:solidFill>
              <w14:schemeClr w14:val="tx1"/>
            </w14:solidFill>
          </w14:textFill>
        </w:rPr>
        <w:t>整机质保：整机（包括结构件、外壳、主板、传感器、电池等非运动损耗部件）保修期不少于 12个月。</w:t>
      </w:r>
    </w:p>
    <w:p w14:paraId="62CEA868">
      <w:pPr>
        <w:spacing w:line="360" w:lineRule="auto"/>
        <w:ind w:firstLine="480"/>
        <w:rPr>
          <w:rFonts w:hint="eastAsia"/>
          <w:bCs/>
          <w:color w:val="FF0000"/>
        </w:rPr>
      </w:pPr>
      <w:r>
        <w:rPr>
          <w:bCs/>
          <w:color w:val="000000" w:themeColor="text1"/>
          <w14:textFill>
            <w14:solidFill>
              <w14:schemeClr w14:val="tx1"/>
            </w14:solidFill>
          </w14:textFill>
        </w:rPr>
        <w:t>运动部件质保：关节电机、驱动模组、减速器等运动部件</w:t>
      </w:r>
      <w:r>
        <w:rPr>
          <w:rFonts w:hint="eastAsia"/>
          <w:bCs/>
          <w:color w:val="000000" w:themeColor="text1"/>
          <w14:textFill>
            <w14:solidFill>
              <w14:schemeClr w14:val="tx1"/>
            </w14:solidFill>
          </w14:textFill>
        </w:rPr>
        <w:t>，人形机器人</w:t>
      </w:r>
      <w:r>
        <w:rPr>
          <w:bCs/>
          <w:color w:val="000000" w:themeColor="text1"/>
          <w14:textFill>
            <w14:solidFill>
              <w14:schemeClr w14:val="tx1"/>
            </w14:solidFill>
          </w14:textFill>
        </w:rPr>
        <w:t xml:space="preserve">保修期不少于 </w:t>
      </w:r>
      <w:r>
        <w:rPr>
          <w:rFonts w:hint="eastAsia"/>
          <w:bCs/>
          <w:color w:val="000000" w:themeColor="text1"/>
          <w14:textFill>
            <w14:solidFill>
              <w14:schemeClr w14:val="tx1"/>
            </w14:solidFill>
          </w14:textFill>
        </w:rPr>
        <w:t>12</w:t>
      </w:r>
      <w:r>
        <w:rPr>
          <w:bCs/>
          <w:color w:val="000000" w:themeColor="text1"/>
          <w14:textFill>
            <w14:solidFill>
              <w14:schemeClr w14:val="tx1"/>
            </w14:solidFill>
          </w14:textFill>
        </w:rPr>
        <w:t>个月</w:t>
      </w:r>
      <w:r>
        <w:rPr>
          <w:rFonts w:hint="eastAsia"/>
          <w:bCs/>
          <w:color w:val="000000" w:themeColor="text1"/>
          <w14:textFill>
            <w14:solidFill>
              <w14:schemeClr w14:val="tx1"/>
            </w14:solidFill>
          </w14:textFill>
        </w:rPr>
        <w:t>。</w:t>
      </w:r>
    </w:p>
    <w:p w14:paraId="2D1F87E2">
      <w:pPr>
        <w:numPr>
          <w:ilvl w:val="0"/>
          <w:numId w:val="3"/>
        </w:numPr>
        <w:spacing w:before="90" w:after="240"/>
        <w:ind w:firstLine="482"/>
        <w:rPr>
          <w:rFonts w:hint="eastAsia"/>
          <w:b/>
          <w:color w:val="0F1115"/>
          <w:shd w:val="clear" w:color="auto" w:fill="FFFFFF"/>
        </w:rPr>
      </w:pPr>
      <w:r>
        <w:rPr>
          <w:b/>
          <w:color w:val="0F1115"/>
          <w:shd w:val="clear" w:color="auto" w:fill="FFFFFF"/>
        </w:rPr>
        <w:t>原厂质保衔接</w:t>
      </w:r>
    </w:p>
    <w:p w14:paraId="2DACA45F">
      <w:pPr>
        <w:spacing w:line="360" w:lineRule="auto"/>
        <w:ind w:firstLine="480"/>
        <w:rPr>
          <w:rFonts w:hint="eastAsia"/>
          <w:bCs/>
          <w:color w:val="000000" w:themeColor="text1"/>
          <w14:textFill>
            <w14:solidFill>
              <w14:schemeClr w14:val="tx1"/>
            </w14:solidFill>
          </w14:textFill>
        </w:rPr>
      </w:pPr>
      <w:r>
        <w:rPr>
          <w:bCs/>
          <w:color w:val="000000" w:themeColor="text1"/>
          <w14:textFill>
            <w14:solidFill>
              <w14:schemeClr w14:val="tx1"/>
            </w14:solidFill>
          </w14:textFill>
        </w:rPr>
        <w:t>若设备原厂对上述任一部件的保修期长于本条款要求，则乙方须按原厂保修期执行，保修内容及标准不得低于原厂承诺。乙方应在</w:t>
      </w:r>
      <w:r>
        <w:rPr>
          <w:rFonts w:hint="eastAsia"/>
          <w:bCs/>
          <w:color w:val="000000" w:themeColor="text1"/>
          <w:lang w:eastAsia="zh-CN"/>
          <w14:textFill>
            <w14:solidFill>
              <w14:schemeClr w14:val="tx1"/>
            </w14:solidFill>
          </w14:textFill>
        </w:rPr>
        <w:t>应答</w:t>
      </w:r>
      <w:r>
        <w:rPr>
          <w:bCs/>
          <w:color w:val="000000" w:themeColor="text1"/>
          <w14:textFill>
            <w14:solidFill>
              <w14:schemeClr w14:val="tx1"/>
            </w14:solidFill>
          </w14:textFill>
        </w:rPr>
        <w:t>文件中如实列明每类设备及各核心部件的原厂保修期限，并随附原厂出具的保修承诺函。</w:t>
      </w:r>
    </w:p>
    <w:p w14:paraId="532A9DFD">
      <w:pPr>
        <w:numPr>
          <w:ilvl w:val="0"/>
          <w:numId w:val="3"/>
        </w:numPr>
        <w:spacing w:before="90" w:after="240"/>
        <w:ind w:firstLine="482"/>
        <w:rPr>
          <w:rFonts w:hint="eastAsia"/>
          <w:b/>
          <w:color w:val="0F1115"/>
          <w:shd w:val="clear" w:color="auto" w:fill="FFFFFF"/>
        </w:rPr>
      </w:pPr>
      <w:r>
        <w:rPr>
          <w:b/>
          <w:color w:val="0F1115"/>
          <w:shd w:val="clear" w:color="auto" w:fill="FFFFFF"/>
        </w:rPr>
        <w:t>集成商总责</w:t>
      </w:r>
    </w:p>
    <w:p w14:paraId="24FBC5B5">
      <w:pPr>
        <w:spacing w:line="360" w:lineRule="auto"/>
        <w:ind w:firstLine="480"/>
        <w:rPr>
          <w:rFonts w:hint="eastAsia"/>
          <w:bCs/>
          <w:color w:val="000000"/>
        </w:rPr>
      </w:pPr>
      <w:r>
        <w:rPr>
          <w:bCs/>
          <w:color w:val="000000" w:themeColor="text1"/>
          <w14:textFill>
            <w14:solidFill>
              <w14:schemeClr w14:val="tx1"/>
            </w14:solidFill>
          </w14:textFill>
        </w:rPr>
        <w:t>乙方作为本项目的硬件集成总负责方，应对所有设备的质保服务承担最终责任。对于原厂保修期不足本条款要求的部件，乙方须自行承担超出原厂保修期部分的维修、更换及人工费用，确保甲方享受完整的质保期。</w:t>
      </w:r>
    </w:p>
    <w:p w14:paraId="69DC7F94">
      <w:pPr>
        <w:numPr>
          <w:ilvl w:val="0"/>
          <w:numId w:val="3"/>
        </w:numPr>
        <w:spacing w:before="90" w:after="240"/>
        <w:ind w:firstLine="482"/>
        <w:rPr>
          <w:rFonts w:hint="eastAsia"/>
        </w:rPr>
      </w:pPr>
      <w:r>
        <w:rPr>
          <w:b/>
          <w:color w:val="0F1115"/>
          <w:shd w:val="clear" w:color="auto" w:fill="FFFFFF"/>
        </w:rPr>
        <w:t>质保服务内容</w:t>
      </w:r>
    </w:p>
    <w:p w14:paraId="4B172DE7">
      <w:pPr>
        <w:spacing w:line="360" w:lineRule="auto"/>
        <w:ind w:firstLine="480"/>
        <w:rPr>
          <w:rFonts w:hint="eastAsia"/>
          <w:bCs/>
          <w:color w:val="000000" w:themeColor="text1"/>
          <w14:textFill>
            <w14:solidFill>
              <w14:schemeClr w14:val="tx1"/>
            </w14:solidFill>
          </w14:textFill>
        </w:rPr>
      </w:pPr>
      <w:r>
        <w:rPr>
          <w:bCs/>
          <w:color w:val="000000" w:themeColor="text1"/>
          <w14:textFill>
            <w14:solidFill>
              <w14:schemeClr w14:val="tx1"/>
            </w14:solidFill>
          </w14:textFill>
        </w:rPr>
        <w:t>保修期内，乙方应对保修范围内非人为因素造成的任何故障、缺陷或性能下降，免费进行修理或更换部件。乙方应在接到甲方故障通知后，按照本规范书第4.</w:t>
      </w:r>
      <w:r>
        <w:rPr>
          <w:rFonts w:hint="eastAsia"/>
          <w:bCs/>
          <w:color w:val="000000" w:themeColor="text1"/>
          <w14:textFill>
            <w14:solidFill>
              <w14:schemeClr w14:val="tx1"/>
            </w14:solidFill>
          </w14:textFill>
        </w:rPr>
        <w:t>5</w:t>
      </w:r>
      <w:r>
        <w:rPr>
          <w:bCs/>
          <w:color w:val="000000" w:themeColor="text1"/>
          <w14:textFill>
            <w14:solidFill>
              <w14:schemeClr w14:val="tx1"/>
            </w14:solidFill>
          </w14:textFill>
        </w:rPr>
        <w:t>.4条款约定的时限响应并解决问题。若乙方未及时承担保修责任，甲方有权自行或委托第三方维修，所产生的一切费用由乙方承担。</w:t>
      </w:r>
      <w:r>
        <w:rPr>
          <w:rFonts w:hint="eastAsia"/>
          <w:bCs/>
          <w:color w:val="000000" w:themeColor="text1"/>
          <w14:textFill>
            <w14:solidFill>
              <w14:schemeClr w14:val="tx1"/>
            </w14:solidFill>
          </w14:textFill>
        </w:rPr>
        <w:t>对因货物在保修期间发生的质量缺陷造成的甲方和/或第三人财产和/或人身损失，乙方应予以赔偿。</w:t>
      </w:r>
    </w:p>
    <w:p w14:paraId="5348C84A">
      <w:pPr>
        <w:ind w:firstLine="480"/>
        <w:rPr>
          <w:rFonts w:hint="eastAsia"/>
        </w:rPr>
      </w:pPr>
    </w:p>
    <w:p w14:paraId="2A38A2C4">
      <w:pPr>
        <w:pStyle w:val="4"/>
      </w:pPr>
      <w:bookmarkStart w:id="90" w:name="_Toc988487062"/>
      <w:r>
        <w:rPr>
          <w:rFonts w:hint="eastAsia"/>
        </w:rPr>
        <w:t>4.5.3电话技术支持服务</w:t>
      </w:r>
      <w:bookmarkEnd w:id="90"/>
    </w:p>
    <w:p w14:paraId="59C8F18C">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乙方必须承诺对所有供应的设备提供终身维修服务。</w:t>
      </w:r>
    </w:p>
    <w:p w14:paraId="0CE7787B">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乙方应具备提供7×24小时甲方电话服务能力，用于受理甲方的合作业务咨询、经甲方转派或者最终甲方提出的设备维护服务请求，乙方应对服务人员进行必要的技能与流程培训，提供服务过程中的升级咨询渠道；</w:t>
      </w:r>
    </w:p>
    <w:p w14:paraId="2705BA63">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乙方应视项目需求与约定，提供 “电话”维护服务渠道，可以是指定的上述官方客服电话或者维护责任人联系方式。</w:t>
      </w:r>
    </w:p>
    <w:p w14:paraId="21CC282E">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乙方承诺一般故障4小时内响应、8小时内到达现场，24小时内处理完毕，且按需求方的售后处理要求及时妥当的处理售后问题，不产生售后升级投诉。</w:t>
      </w:r>
    </w:p>
    <w:p w14:paraId="302E39BD">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乙方服务人员应按照甲方提供的材料与方法，进行设备保修期判定、设备保修范围判定、设备故障初步判定、报修详细信息记录等工作。并能提供甲方需要的技术指导资料，指导甲方正常使用或进行故障恢复等。</w:t>
      </w:r>
    </w:p>
    <w:p w14:paraId="7869D702">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乙方应使用双方约定的信息系统或方式记录电话技术支持服务，并汇总上报给甲方。</w:t>
      </w:r>
    </w:p>
    <w:p w14:paraId="0F6A4F48">
      <w:pPr>
        <w:pStyle w:val="4"/>
      </w:pPr>
      <w:bookmarkStart w:id="91" w:name="_Toc568557842"/>
      <w:r>
        <w:rPr>
          <w:rFonts w:hint="eastAsia"/>
        </w:rPr>
        <w:t>4.5.4设备故障修复服务（含远程技术支持、现场技术支持）</w:t>
      </w:r>
      <w:bookmarkEnd w:id="91"/>
    </w:p>
    <w:p w14:paraId="7C7031D4">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乙方应保证产品的售后服务响应时间不超过24小时。</w:t>
      </w:r>
    </w:p>
    <w:p w14:paraId="77348673">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乙方服务人员应对甲方申报的故障进行远程指导解决。</w:t>
      </w:r>
    </w:p>
    <w:p w14:paraId="3516F478">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乙方服务人员应配合甲方技术人员，进行故障信息的收集反馈、现场工作沟通等，推进故障修复。</w:t>
      </w:r>
    </w:p>
    <w:p w14:paraId="4CAD81D3">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远程无法解决，经协商需要现场解决的，乙方提供现场支持服务。在项目约定的到场时限、恢复时限内完成故障修复工作。</w:t>
      </w:r>
    </w:p>
    <w:p w14:paraId="375A5A83">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如在该项目约定的修复时限内不能修复故障的，应在项目约定的换修时限内，提供不低于同档次备用设备，不影响甲方使用。</w:t>
      </w:r>
    </w:p>
    <w:p w14:paraId="204F2BC8">
      <w:pPr>
        <w:pStyle w:val="4"/>
      </w:pPr>
      <w:bookmarkStart w:id="92" w:name="_Toc1596904991"/>
      <w:r>
        <w:rPr>
          <w:rFonts w:hint="eastAsia"/>
        </w:rPr>
        <w:t>4.5.5紧急事件的处理</w:t>
      </w:r>
      <w:bookmarkEnd w:id="92"/>
    </w:p>
    <w:p w14:paraId="184F697B">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乙方应提供故障排除服务，须在接到故障报警后24小时内提供解决方案，如遇到非人为造成的硬件故障，乙方应免费提供更换服务。</w:t>
      </w:r>
    </w:p>
    <w:p w14:paraId="398E54A6">
      <w:pPr>
        <w:pStyle w:val="4"/>
      </w:pPr>
      <w:bookmarkStart w:id="93" w:name="_Toc2079047178"/>
      <w:r>
        <w:rPr>
          <w:rFonts w:hint="eastAsia"/>
        </w:rPr>
        <w:t>4.5.6技术文件与培训服务</w:t>
      </w:r>
      <w:bookmarkEnd w:id="93"/>
    </w:p>
    <w:p w14:paraId="24522A4A">
      <w:pPr>
        <w:pStyle w:val="15"/>
        <w:spacing w:after="0" w:line="360" w:lineRule="auto"/>
        <w:ind w:left="0" w:leftChars="0" w:firstLine="480" w:firstLineChars="200"/>
        <w:rPr>
          <w:rFonts w:hint="eastAsia" w:ascii="宋体" w:hAnsi="宋体"/>
          <w:kern w:val="0"/>
          <w:sz w:val="24"/>
          <w:szCs w:val="24"/>
        </w:rPr>
      </w:pPr>
      <w:r>
        <w:rPr>
          <w:rFonts w:hint="eastAsia" w:ascii="宋体" w:hAnsi="宋体" w:cs="宋体"/>
          <w:kern w:val="0"/>
          <w:sz w:val="24"/>
          <w:szCs w:val="24"/>
        </w:rPr>
        <w:t>乙方应按照甲方要求安排相关人员免费提供产品技术培训。其他服务还应包括免费的人员培训、现场测试培训、设备部署安装调试适配服务以及协助完成设备升级服务等。</w:t>
      </w:r>
    </w:p>
    <w:p w14:paraId="7F2D2562">
      <w:pPr>
        <w:pStyle w:val="3"/>
        <w:numPr>
          <w:ilvl w:val="1"/>
          <w:numId w:val="1"/>
        </w:numPr>
      </w:pPr>
      <w:bookmarkStart w:id="94" w:name="_Toc839500309"/>
      <w:r>
        <w:rPr>
          <w:rFonts w:hint="eastAsia"/>
        </w:rPr>
        <w:t>供货要求</w:t>
      </w:r>
      <w:bookmarkEnd w:id="94"/>
    </w:p>
    <w:p w14:paraId="02000BE7">
      <w:pPr>
        <w:spacing w:line="360" w:lineRule="auto"/>
        <w:ind w:firstLine="480"/>
        <w:rPr>
          <w:rFonts w:hint="eastAsia"/>
        </w:rPr>
      </w:pPr>
      <w:r>
        <w:rPr>
          <w:rFonts w:hint="eastAsia"/>
        </w:rPr>
        <w:t>合同签订后，</w:t>
      </w:r>
      <w:r>
        <w:rPr>
          <w:color w:val="auto"/>
        </w:rPr>
        <w:t>卖方应在收到甲方订单起30天内</w:t>
      </w:r>
      <w:r>
        <w:rPr>
          <w:rFonts w:hint="eastAsia"/>
          <w:color w:val="auto"/>
        </w:rPr>
        <w:t>完成</w:t>
      </w:r>
      <w:r>
        <w:rPr>
          <w:rFonts w:hint="eastAsia"/>
        </w:rPr>
        <w:t>全部设备的供货及安装调试准备工作。具体到货时间以买方通知为准。</w:t>
      </w:r>
    </w:p>
    <w:bookmarkEnd w:id="71"/>
    <w:bookmarkEnd w:id="72"/>
    <w:bookmarkEnd w:id="73"/>
    <w:bookmarkEnd w:id="74"/>
    <w:bookmarkEnd w:id="75"/>
    <w:bookmarkEnd w:id="76"/>
    <w:bookmarkEnd w:id="77"/>
    <w:p w14:paraId="56D55497">
      <w:pPr>
        <w:pStyle w:val="2"/>
        <w:numPr>
          <w:ilvl w:val="0"/>
          <w:numId w:val="1"/>
        </w:numPr>
        <w:spacing w:before="100" w:beforeAutospacing="1" w:after="100" w:afterAutospacing="1" w:line="360" w:lineRule="auto"/>
        <w:rPr>
          <w:rFonts w:hint="eastAsia" w:ascii="宋体" w:hAnsi="宋体" w:eastAsia="宋体" w:cs="宋体"/>
          <w:sz w:val="36"/>
        </w:rPr>
      </w:pPr>
      <w:bookmarkStart w:id="95" w:name="_Toc514132573"/>
      <w:bookmarkStart w:id="96" w:name="_Toc269300696"/>
      <w:bookmarkStart w:id="97" w:name="_Toc269302058"/>
      <w:bookmarkStart w:id="98" w:name="_Toc303882646"/>
      <w:bookmarkStart w:id="99" w:name="_Toc474200789"/>
      <w:bookmarkStart w:id="100" w:name="_Toc478198194"/>
      <w:bookmarkStart w:id="101" w:name="_Toc436810097"/>
      <w:bookmarkStart w:id="102" w:name="_Toc350728857"/>
      <w:bookmarkStart w:id="103" w:name="_Toc441034176"/>
      <w:bookmarkStart w:id="104" w:name="_Toc486943916"/>
      <w:bookmarkStart w:id="105" w:name="_Toc473452610"/>
      <w:bookmarkStart w:id="106" w:name="_Toc470578359"/>
      <w:bookmarkStart w:id="107" w:name="_Toc477428547"/>
      <w:bookmarkStart w:id="108" w:name="_Toc329873638"/>
      <w:bookmarkStart w:id="109" w:name="_Toc436809466"/>
      <w:r>
        <w:rPr>
          <w:rFonts w:hint="eastAsia" w:ascii="宋体" w:hAnsi="宋体" w:eastAsia="宋体" w:cs="宋体"/>
          <w:sz w:val="36"/>
        </w:rPr>
        <w:t>服务商管理机制</w:t>
      </w:r>
      <w:bookmarkEnd w:id="95"/>
    </w:p>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511AFD1F">
      <w:pPr>
        <w:pStyle w:val="43"/>
        <w:numPr>
          <w:ilvl w:val="0"/>
          <w:numId w:val="4"/>
        </w:numPr>
        <w:ind w:left="0" w:firstLine="480"/>
        <w:rPr>
          <w:rFonts w:hint="eastAsia" w:ascii="宋体" w:hAnsi="宋体"/>
        </w:rPr>
      </w:pPr>
      <w:bookmarkStart w:id="110" w:name="_Toc1052642034"/>
      <w:bookmarkStart w:id="111" w:name="_Toc458802272"/>
      <w:r>
        <w:rPr>
          <w:rFonts w:hint="eastAsia" w:ascii="宋体" w:hAnsi="宋体"/>
        </w:rPr>
        <w:t>合同签订后，创新研究院定期对服务商服务情况进行考核评估。</w:t>
      </w:r>
    </w:p>
    <w:p w14:paraId="136D7E0F">
      <w:pPr>
        <w:pStyle w:val="43"/>
        <w:numPr>
          <w:ilvl w:val="0"/>
          <w:numId w:val="4"/>
        </w:numPr>
        <w:ind w:left="0" w:firstLine="480"/>
        <w:rPr>
          <w:rFonts w:hint="eastAsia" w:ascii="宋体" w:hAnsi="宋体"/>
        </w:rPr>
      </w:pPr>
      <w:r>
        <w:rPr>
          <w:rFonts w:hint="eastAsia" w:ascii="宋体" w:hAnsi="宋体"/>
        </w:rPr>
        <w:t>服务商在服务周期内发生以下情况的，创新研究院有权提前终止合同：</w:t>
      </w:r>
    </w:p>
    <w:p w14:paraId="6A89B939">
      <w:pPr>
        <w:pStyle w:val="43"/>
        <w:numPr>
          <w:ilvl w:val="0"/>
          <w:numId w:val="5"/>
        </w:numPr>
        <w:ind w:left="420" w:leftChars="175" w:firstLine="480"/>
        <w:rPr>
          <w:rFonts w:hint="eastAsia" w:ascii="宋体" w:hAnsi="宋体"/>
        </w:rPr>
      </w:pPr>
      <w:r>
        <w:rPr>
          <w:rFonts w:hint="eastAsia" w:ascii="宋体" w:hAnsi="宋体"/>
        </w:rPr>
        <w:t>因不按创新研究院规定私自进行操作，造成创新研究院重大财产损失的（一次及以上）；</w:t>
      </w:r>
    </w:p>
    <w:p w14:paraId="4093AD41">
      <w:pPr>
        <w:pStyle w:val="43"/>
        <w:numPr>
          <w:ilvl w:val="0"/>
          <w:numId w:val="5"/>
        </w:numPr>
        <w:ind w:left="420" w:leftChars="175" w:firstLine="480"/>
        <w:rPr>
          <w:rFonts w:hint="eastAsia" w:ascii="宋体" w:hAnsi="宋体"/>
        </w:rPr>
      </w:pPr>
      <w:r>
        <w:rPr>
          <w:rFonts w:ascii="宋体" w:hAnsi="宋体"/>
        </w:rPr>
        <w:t>未得到</w:t>
      </w:r>
      <w:r>
        <w:rPr>
          <w:rFonts w:hint="eastAsia" w:ascii="宋体" w:hAnsi="宋体"/>
        </w:rPr>
        <w:t>创新研究院</w:t>
      </w:r>
      <w:r>
        <w:rPr>
          <w:rFonts w:ascii="宋体" w:hAnsi="宋体"/>
        </w:rPr>
        <w:t>许可，私自将服务人员调离此项目的（一次及以上）</w:t>
      </w:r>
      <w:r>
        <w:rPr>
          <w:rFonts w:hint="eastAsia" w:ascii="宋体" w:hAnsi="宋体"/>
        </w:rPr>
        <w:t>。</w:t>
      </w:r>
    </w:p>
    <w:bookmarkEnd w:id="58"/>
    <w:bookmarkEnd w:id="59"/>
    <w:bookmarkEnd w:id="60"/>
    <w:bookmarkEnd w:id="61"/>
    <w:bookmarkEnd w:id="62"/>
    <w:bookmarkEnd w:id="63"/>
    <w:bookmarkEnd w:id="64"/>
    <w:bookmarkEnd w:id="65"/>
    <w:bookmarkEnd w:id="66"/>
    <w:bookmarkEnd w:id="67"/>
    <w:bookmarkEnd w:id="68"/>
    <w:bookmarkEnd w:id="110"/>
    <w:bookmarkEnd w:id="111"/>
    <w:p w14:paraId="7C6A5F84">
      <w:pPr>
        <w:pStyle w:val="2"/>
        <w:numPr>
          <w:ilvl w:val="0"/>
          <w:numId w:val="1"/>
        </w:numPr>
        <w:spacing w:before="100" w:beforeAutospacing="1" w:after="100" w:afterAutospacing="1" w:line="360" w:lineRule="auto"/>
        <w:rPr>
          <w:rFonts w:hint="eastAsia" w:ascii="宋体" w:hAnsi="宋体" w:eastAsia="宋体" w:cs="宋体"/>
          <w:sz w:val="36"/>
        </w:rPr>
      </w:pPr>
      <w:bookmarkStart w:id="112" w:name="_Toc830029228"/>
      <w:bookmarkStart w:id="113" w:name="_Toc1699442530"/>
      <w:bookmarkStart w:id="114" w:name="_Toc1328808963"/>
      <w:r>
        <w:rPr>
          <w:rFonts w:hint="eastAsia" w:ascii="宋体" w:hAnsi="宋体" w:eastAsia="宋体" w:cs="宋体"/>
          <w:sz w:val="36"/>
        </w:rPr>
        <w:t>硬件安装与运输</w:t>
      </w:r>
      <w:bookmarkEnd w:id="112"/>
      <w:bookmarkEnd w:id="113"/>
      <w:bookmarkEnd w:id="114"/>
    </w:p>
    <w:p w14:paraId="17DF410B">
      <w:pPr>
        <w:pStyle w:val="3"/>
        <w:numPr>
          <w:ilvl w:val="1"/>
          <w:numId w:val="1"/>
        </w:numPr>
      </w:pPr>
      <w:bookmarkStart w:id="115" w:name="_Toc1609795988"/>
      <w:bookmarkStart w:id="116" w:name="_Toc247464084"/>
      <w:bookmarkStart w:id="117" w:name="_Toc998096610"/>
      <w:r>
        <w:rPr>
          <w:rFonts w:hint="eastAsia"/>
        </w:rPr>
        <w:t>硬件设备安装要求</w:t>
      </w:r>
      <w:bookmarkEnd w:id="115"/>
      <w:bookmarkEnd w:id="116"/>
      <w:bookmarkEnd w:id="117"/>
    </w:p>
    <w:p w14:paraId="6ACF00A9">
      <w:pPr>
        <w:spacing w:line="360" w:lineRule="auto"/>
        <w:ind w:firstLine="480"/>
        <w:rPr>
          <w:rFonts w:hint="eastAsia"/>
        </w:rPr>
      </w:pPr>
      <w:r>
        <w:rPr>
          <w:rFonts w:hint="eastAsia"/>
        </w:rPr>
        <w:t>安装位置必须保证无强电、强磁和强腐蚀性设备的干扰；</w:t>
      </w:r>
    </w:p>
    <w:p w14:paraId="2259400B">
      <w:pPr>
        <w:spacing w:line="360" w:lineRule="auto"/>
        <w:ind w:firstLine="480"/>
        <w:rPr>
          <w:rFonts w:hint="eastAsia"/>
        </w:rPr>
      </w:pPr>
      <w:r>
        <w:rPr>
          <w:rFonts w:hint="eastAsia"/>
        </w:rPr>
        <w:t>安装场所应干燥、防尘、且通风良好，便于维护；</w:t>
      </w:r>
    </w:p>
    <w:p w14:paraId="54FAA828">
      <w:pPr>
        <w:spacing w:line="360" w:lineRule="auto"/>
        <w:ind w:firstLine="480"/>
        <w:rPr>
          <w:rFonts w:hint="eastAsia"/>
        </w:rPr>
      </w:pPr>
      <w:r>
        <w:rPr>
          <w:rFonts w:hint="eastAsia"/>
        </w:rPr>
        <w:t>乙方若在工程实施过程中，服务能力等达不到甲方要求，甲方有权决定是否启用备用厂家。</w:t>
      </w:r>
    </w:p>
    <w:p w14:paraId="2F11EF48">
      <w:pPr>
        <w:pStyle w:val="3"/>
        <w:numPr>
          <w:ilvl w:val="1"/>
          <w:numId w:val="1"/>
        </w:numPr>
      </w:pPr>
      <w:bookmarkStart w:id="118" w:name="_Toc1842185410"/>
      <w:bookmarkStart w:id="119" w:name="_Toc1600519196"/>
      <w:bookmarkStart w:id="120" w:name="_Toc1014957553"/>
      <w:r>
        <w:rPr>
          <w:rFonts w:hint="eastAsia"/>
        </w:rPr>
        <w:t>硬件设备运输要求</w:t>
      </w:r>
      <w:bookmarkEnd w:id="118"/>
      <w:bookmarkEnd w:id="119"/>
      <w:bookmarkEnd w:id="120"/>
    </w:p>
    <w:p w14:paraId="5E157472">
      <w:pPr>
        <w:spacing w:line="360" w:lineRule="auto"/>
        <w:ind w:firstLine="480"/>
        <w:rPr>
          <w:rFonts w:hint="eastAsia"/>
        </w:rPr>
      </w:pPr>
      <w:r>
        <w:rPr>
          <w:rFonts w:hint="eastAsia"/>
        </w:rPr>
        <w:t>由乙方提供的所有设备和材料具备适应多次搬运、装卸的坚固包装，包装应保证在仓储、运输、装卸过程中产品完好无损，并有减振、防冲击的措施。包装应按设备特点，按需要分别加上防潮、防霉、防锈、防腐蚀的保护措施，以保证货物在没有任何损坏和腐蚀的情况下安全运抵合同中规定的组装地点。乙方应提供匹配的航空运输箱设计，其尺寸取决于包装内容尺寸，且航空箱应符合其技术指标标准。</w:t>
      </w:r>
    </w:p>
    <w:p w14:paraId="78212AB4">
      <w:pPr>
        <w:pStyle w:val="2"/>
        <w:numPr>
          <w:ilvl w:val="0"/>
          <w:numId w:val="1"/>
        </w:numPr>
        <w:spacing w:before="100" w:beforeAutospacing="1" w:after="100" w:afterAutospacing="1" w:line="360" w:lineRule="auto"/>
        <w:rPr>
          <w:rFonts w:hint="eastAsia" w:ascii="宋体" w:hAnsi="宋体" w:eastAsia="宋体" w:cs="宋体"/>
          <w:sz w:val="36"/>
        </w:rPr>
      </w:pPr>
      <w:bookmarkStart w:id="121" w:name="_Toc928985150"/>
      <w:r>
        <w:rPr>
          <w:rFonts w:hint="eastAsia" w:ascii="宋体" w:hAnsi="宋体" w:eastAsia="宋体" w:cs="宋体"/>
          <w:sz w:val="36"/>
        </w:rPr>
        <w:t>信息安全禁令</w:t>
      </w:r>
      <w:bookmarkEnd w:id="121"/>
    </w:p>
    <w:p w14:paraId="2B702DCF">
      <w:pPr>
        <w:pStyle w:val="43"/>
        <w:ind w:firstLineChars="0"/>
        <w:rPr>
          <w:rFonts w:hint="eastAsia" w:ascii="宋体" w:hAnsi="宋体"/>
        </w:rPr>
      </w:pPr>
      <w:r>
        <w:rPr>
          <w:rFonts w:ascii="宋体" w:hAnsi="宋体"/>
        </w:rPr>
        <w:t>第一条：严禁未经批准私自将客户信息、公司经营数据、企业战略文档等机密材料以任何形式提供给外部人员。</w:t>
      </w:r>
    </w:p>
    <w:p w14:paraId="099A1FC4">
      <w:pPr>
        <w:pStyle w:val="43"/>
        <w:ind w:firstLineChars="0"/>
        <w:rPr>
          <w:rFonts w:hint="eastAsia" w:ascii="宋体" w:hAnsi="宋体"/>
        </w:rPr>
      </w:pPr>
      <w:r>
        <w:rPr>
          <w:rFonts w:ascii="宋体" w:hAnsi="宋体"/>
        </w:rPr>
        <w:t xml:space="preserve">第二条：严禁私自将公司的核心技术资料、核心程序代码等资料提供给工作无关第三方人员。 </w:t>
      </w:r>
    </w:p>
    <w:p w14:paraId="78C15334">
      <w:pPr>
        <w:pStyle w:val="43"/>
        <w:ind w:firstLineChars="0"/>
        <w:rPr>
          <w:rFonts w:hint="eastAsia" w:ascii="宋体" w:hAnsi="宋体"/>
        </w:rPr>
      </w:pPr>
      <w:r>
        <w:rPr>
          <w:rFonts w:ascii="宋体" w:hAnsi="宋体"/>
        </w:rPr>
        <w:t>第三条：严禁利用工作之便违规查询、获取公司邮件、文件、客户信息等涉密信息。</w:t>
      </w:r>
    </w:p>
    <w:p w14:paraId="2BA1EA27">
      <w:pPr>
        <w:pStyle w:val="43"/>
        <w:ind w:firstLineChars="0"/>
        <w:rPr>
          <w:rFonts w:hint="eastAsia" w:ascii="宋体" w:hAnsi="宋体"/>
        </w:rPr>
      </w:pPr>
      <w:r>
        <w:rPr>
          <w:rFonts w:ascii="宋体" w:hAnsi="宋体"/>
        </w:rPr>
        <w:t xml:space="preserve">第四条：严禁私自操作工作职责外的业务，如私自改动IT系统中的资金、套餐等生产数据。 </w:t>
      </w:r>
    </w:p>
    <w:p w14:paraId="7DA0A22C">
      <w:pPr>
        <w:pStyle w:val="43"/>
        <w:ind w:firstLineChars="0"/>
        <w:rPr>
          <w:rFonts w:hint="eastAsia" w:ascii="宋体" w:hAnsi="宋体"/>
        </w:rPr>
      </w:pPr>
      <w:r>
        <w:rPr>
          <w:rFonts w:ascii="宋体" w:hAnsi="宋体"/>
        </w:rPr>
        <w:t xml:space="preserve">第五条：严禁未经审批擅自开通、修改或删除各类账号权限。 </w:t>
      </w:r>
    </w:p>
    <w:p w14:paraId="167A612E">
      <w:pPr>
        <w:pStyle w:val="43"/>
        <w:ind w:firstLineChars="0"/>
        <w:rPr>
          <w:rFonts w:hint="eastAsia" w:ascii="宋体" w:hAnsi="宋体"/>
        </w:rPr>
      </w:pPr>
      <w:r>
        <w:rPr>
          <w:rFonts w:ascii="宋体" w:hAnsi="宋体"/>
        </w:rPr>
        <w:t>第六条：严禁向第三方合作商透露项目底价、倾向性意见等敏感内容。</w:t>
      </w:r>
    </w:p>
    <w:p w14:paraId="6FEEEA77">
      <w:pPr>
        <w:pStyle w:val="43"/>
        <w:ind w:firstLineChars="0"/>
        <w:rPr>
          <w:rFonts w:hint="eastAsia" w:ascii="宋体" w:hAnsi="宋体"/>
        </w:rPr>
      </w:pPr>
      <w:r>
        <w:rPr>
          <w:rFonts w:ascii="宋体" w:hAnsi="宋体"/>
        </w:rPr>
        <w:t>第七条：严禁泄漏生产帐号密码，个人帐号“谁申请、谁负责”，不得私自借予或借用个人账号，未经审批不得私自进入数据库使用生产账号进行任何操作。</w:t>
      </w:r>
    </w:p>
    <w:p w14:paraId="3BA5BF62">
      <w:pPr>
        <w:pStyle w:val="43"/>
        <w:ind w:firstLineChars="0"/>
        <w:rPr>
          <w:rFonts w:hint="eastAsia" w:ascii="宋体" w:hAnsi="宋体"/>
        </w:rPr>
      </w:pPr>
      <w:r>
        <w:rPr>
          <w:rFonts w:ascii="宋体" w:hAnsi="宋体"/>
        </w:rPr>
        <w:t>第八条：严禁隐瞒信息安全事件不上报。</w:t>
      </w:r>
    </w:p>
    <w:p w14:paraId="60ABD8A8">
      <w:pPr>
        <w:pStyle w:val="2"/>
        <w:numPr>
          <w:ilvl w:val="0"/>
          <w:numId w:val="1"/>
        </w:numPr>
        <w:spacing w:before="100" w:beforeAutospacing="1" w:after="100" w:afterAutospacing="1" w:line="360" w:lineRule="auto"/>
        <w:rPr>
          <w:rFonts w:hint="eastAsia" w:ascii="宋体" w:hAnsi="宋体" w:eastAsia="宋体" w:cs="宋体"/>
          <w:sz w:val="36"/>
        </w:rPr>
      </w:pPr>
      <w:bookmarkStart w:id="122" w:name="_Toc1247302360"/>
      <w:bookmarkStart w:id="123" w:name="_Toc727390136"/>
      <w:bookmarkStart w:id="124" w:name="_Toc129177559"/>
      <w:bookmarkStart w:id="125" w:name="_Toc454062862"/>
      <w:r>
        <w:rPr>
          <w:rFonts w:hint="eastAsia" w:ascii="宋体" w:hAnsi="宋体" w:eastAsia="宋体" w:cs="宋体"/>
          <w:sz w:val="36"/>
        </w:rPr>
        <w:t>其他要求</w:t>
      </w:r>
      <w:bookmarkEnd w:id="122"/>
      <w:bookmarkEnd w:id="123"/>
      <w:bookmarkEnd w:id="124"/>
      <w:bookmarkEnd w:id="125"/>
    </w:p>
    <w:p w14:paraId="3BA39EDE">
      <w:pPr>
        <w:pStyle w:val="15"/>
        <w:spacing w:after="0" w:line="360" w:lineRule="auto"/>
        <w:ind w:left="0" w:leftChars="0" w:firstLine="480" w:firstLineChars="200"/>
        <w:rPr>
          <w:rFonts w:hint="eastAsia" w:ascii="宋体" w:hAnsi="宋体" w:eastAsia="宋体" w:cs="宋体"/>
          <w:kern w:val="0"/>
          <w:sz w:val="24"/>
        </w:rPr>
      </w:pPr>
      <w:r>
        <w:rPr>
          <w:rFonts w:hint="eastAsia" w:ascii="宋体" w:hAnsi="宋体" w:eastAsia="宋体" w:cs="宋体"/>
          <w:kern w:val="0"/>
          <w:sz w:val="24"/>
        </w:rPr>
        <w:t>乙方应对调试人员进行培训，并购买意外保险。</w:t>
      </w:r>
    </w:p>
    <w:p w14:paraId="0F126B77">
      <w:pPr>
        <w:pStyle w:val="15"/>
        <w:spacing w:after="0" w:line="360" w:lineRule="auto"/>
        <w:ind w:left="0" w:leftChars="0" w:firstLine="480" w:firstLineChars="200"/>
        <w:rPr>
          <w:rFonts w:hint="eastAsia" w:ascii="宋体" w:hAnsi="宋体" w:eastAsia="宋体" w:cs="宋体"/>
          <w:kern w:val="0"/>
          <w:sz w:val="24"/>
        </w:rPr>
      </w:pPr>
      <w:r>
        <w:rPr>
          <w:rFonts w:hint="eastAsia" w:ascii="宋体" w:hAnsi="宋体" w:eastAsia="宋体" w:cs="宋体"/>
          <w:kern w:val="0"/>
          <w:sz w:val="24"/>
        </w:rPr>
        <w:t>如调试过程中出现安全事故，乙方承担全部责任。</w:t>
      </w:r>
    </w:p>
    <w:p w14:paraId="50B16C47">
      <w:pPr>
        <w:pStyle w:val="15"/>
        <w:spacing w:after="0" w:line="360" w:lineRule="auto"/>
        <w:ind w:left="0" w:leftChars="0" w:firstLine="480" w:firstLineChars="200"/>
        <w:rPr>
          <w:rFonts w:hint="eastAsia" w:ascii="宋体" w:hAnsi="宋体" w:eastAsia="宋体" w:cs="宋体"/>
          <w:kern w:val="0"/>
          <w:sz w:val="24"/>
        </w:rPr>
      </w:pPr>
      <w:r>
        <w:rPr>
          <w:rFonts w:hint="eastAsia" w:ascii="宋体" w:hAnsi="宋体" w:eastAsia="宋体" w:cs="宋体"/>
          <w:kern w:val="0"/>
          <w:sz w:val="24"/>
        </w:rPr>
        <w:t>乙方须开具安全生产事故与我公司无关的责任申明，如提供服务过程中出现安全事故，乙方应承担全部责任。</w:t>
      </w:r>
    </w:p>
    <w:p w14:paraId="4193B489">
      <w:pPr>
        <w:pStyle w:val="15"/>
        <w:spacing w:after="0" w:line="360" w:lineRule="auto"/>
        <w:ind w:left="0" w:leftChars="0" w:firstLine="480" w:firstLineChars="200"/>
      </w:pPr>
      <w:r>
        <w:rPr>
          <w:rFonts w:hint="eastAsia" w:ascii="宋体" w:hAnsi="宋体" w:eastAsia="宋体" w:cs="宋体"/>
          <w:kern w:val="0"/>
          <w:sz w:val="24"/>
        </w:rPr>
        <w:t>在质保期内，若乙方提供的电源等原配件在应用过程中因产品质量问题出现爆炸等各类安全事故（非人为因素），造成人员伤亡及经济损失，乙方应承担全部责任。</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Neue">
    <w:altName w:val="Times New Roman"/>
    <w:panose1 w:val="00000000000000000000"/>
    <w:charset w:val="00"/>
    <w:family w:val="auto"/>
    <w:pitch w:val="default"/>
    <w:sig w:usb0="00000000" w:usb1="00000000" w:usb2="00000010" w:usb3="00000000" w:csb0="00000000" w:csb1="00000000"/>
  </w:font>
  <w:font w:name="长城仿宋">
    <w:altName w:val="仿宋"/>
    <w:panose1 w:val="00000000000000000000"/>
    <w:charset w:val="86"/>
    <w:family w:val="modern"/>
    <w:pitch w:val="default"/>
    <w:sig w:usb0="00000000" w:usb1="00000000" w:usb2="00000010" w:usb3="00000000" w:csb0="00040000" w:csb1="00000000"/>
  </w:font>
  <w:font w:name="PingFang SC">
    <w:altName w:val="宋体"/>
    <w:panose1 w:val="00000000000000000000"/>
    <w:charset w:val="86"/>
    <w:family w:val="swiss"/>
    <w:pitch w:val="default"/>
    <w:sig w:usb0="00000000" w:usb1="00000000" w:usb2="00000017" w:usb3="00000000" w:csb0="00040001"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EA4F1">
    <w:pPr>
      <w:pStyle w:val="18"/>
      <w:ind w:right="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F65A96">
                          <w:pPr>
                            <w:pStyle w:val="18"/>
                          </w:pPr>
                          <w:r>
                            <w:rPr>
                              <w:rStyle w:val="29"/>
                            </w:rPr>
                            <w:fldChar w:fldCharType="begin"/>
                          </w:r>
                          <w:r>
                            <w:rPr>
                              <w:rStyle w:val="29"/>
                            </w:rPr>
                            <w:instrText xml:space="preserve">PAGE  </w:instrText>
                          </w:r>
                          <w:r>
                            <w:rPr>
                              <w:rStyle w:val="29"/>
                            </w:rPr>
                            <w:fldChar w:fldCharType="separate"/>
                          </w:r>
                          <w:r>
                            <w:rPr>
                              <w:rStyle w:val="29"/>
                            </w:rPr>
                            <w:t>7</w:t>
                          </w:r>
                          <w:r>
                            <w:rPr>
                              <w:rStyle w:val="29"/>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eqnbYsAgAAVQ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6qdtiwCAABVBAAADgAAAAAAAAABACAAAAAfAQAAZHJzL2Uyb0RvYy54bWxQSwUGAAAAAAYA&#10;BgBZAQAAvQUAAAAA&#10;">
              <v:fill on="f" focussize="0,0"/>
              <v:stroke on="f" weight="0.5pt"/>
              <v:imagedata o:title=""/>
              <o:lock v:ext="edit" aspectratio="f"/>
              <v:textbox inset="0mm,0mm,0mm,0mm" style="mso-fit-shape-to-text:t;">
                <w:txbxContent>
                  <w:p w14:paraId="47F65A96">
                    <w:pPr>
                      <w:pStyle w:val="18"/>
                    </w:pPr>
                    <w:r>
                      <w:rPr>
                        <w:rStyle w:val="29"/>
                      </w:rPr>
                      <w:fldChar w:fldCharType="begin"/>
                    </w:r>
                    <w:r>
                      <w:rPr>
                        <w:rStyle w:val="29"/>
                      </w:rPr>
                      <w:instrText xml:space="preserve">PAGE  </w:instrText>
                    </w:r>
                    <w:r>
                      <w:rPr>
                        <w:rStyle w:val="29"/>
                      </w:rPr>
                      <w:fldChar w:fldCharType="separate"/>
                    </w:r>
                    <w:r>
                      <w:rPr>
                        <w:rStyle w:val="29"/>
                      </w:rPr>
                      <w:t>7</w:t>
                    </w:r>
                    <w:r>
                      <w:rPr>
                        <w:rStyle w:val="29"/>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64418">
    <w:pPr>
      <w:pStyle w:val="18"/>
      <w:framePr w:wrap="around" w:vAnchor="text" w:hAnchor="margin" w:xAlign="right" w:y="1"/>
    </w:pPr>
    <w:r>
      <w:rPr>
        <w:rStyle w:val="29"/>
      </w:rPr>
      <w:fldChar w:fldCharType="begin"/>
    </w:r>
    <w:r>
      <w:rPr>
        <w:rStyle w:val="29"/>
      </w:rPr>
      <w:instrText xml:space="preserve">PAGE  </w:instrText>
    </w:r>
    <w:r>
      <w:rPr>
        <w:rStyle w:val="29"/>
      </w:rPr>
      <w:fldChar w:fldCharType="end"/>
    </w:r>
  </w:p>
  <w:p w14:paraId="3D6F3518">
    <w:pPr>
      <w:pStyle w:val="18"/>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041A08"/>
    <w:multiLevelType w:val="multilevel"/>
    <w:tmpl w:val="01041A08"/>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default" w:asciiTheme="majorEastAsia" w:hAnsiTheme="majorEastAsia" w:eastAsiaTheme="majorEastAsia" w:cstheme="majorEastAsia"/>
      </w:rPr>
    </w:lvl>
    <w:lvl w:ilvl="2" w:tentative="0">
      <w:start w:val="1"/>
      <w:numFmt w:val="decimal"/>
      <w:lvlText w:val="%1.%2.%3."/>
      <w:lvlJc w:val="left"/>
      <w:pPr>
        <w:ind w:left="709" w:hanging="709"/>
      </w:pPr>
      <w:rPr>
        <w:rFonts w:hint="default" w:asciiTheme="majorEastAsia" w:hAnsiTheme="majorEastAsia" w:eastAsiaTheme="majorEastAsia" w:cstheme="major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10DA278B"/>
    <w:multiLevelType w:val="multilevel"/>
    <w:tmpl w:val="10DA278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53D714A"/>
    <w:multiLevelType w:val="multilevel"/>
    <w:tmpl w:val="153D714A"/>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
    <w:nsid w:val="6BA84EDE"/>
    <w:multiLevelType w:val="multilevel"/>
    <w:tmpl w:val="6BA84EDE"/>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7FBE612C"/>
    <w:multiLevelType w:val="multilevel"/>
    <w:tmpl w:val="7FBE612C"/>
    <w:lvl w:ilvl="0" w:tentative="0">
      <w:start w:val="1"/>
      <w:numFmt w:val="decimal"/>
      <w:lvlText w:val="%1."/>
      <w:lvlJc w:val="left"/>
    </w:lvl>
    <w:lvl w:ilvl="1" w:tentative="0">
      <w:start w:val="1"/>
      <w:numFmt w:val="lowerLetter"/>
      <w:lvlText w:val="%2."/>
      <w:lvlJc w:val="left"/>
      <w:pPr>
        <w:ind w:leftChars="200" w:hanging="336"/>
      </w:pPr>
    </w:lvl>
    <w:lvl w:ilvl="2" w:tentative="0">
      <w:start w:val="1"/>
      <w:numFmt w:val="lowerRoman"/>
      <w:lvlText w:val="%3."/>
      <w:lvlJc w:val="left"/>
      <w:pPr>
        <w:ind w:leftChars="400" w:hanging="336"/>
      </w:pPr>
    </w:lvl>
    <w:lvl w:ilvl="3" w:tentative="0">
      <w:start w:val="1"/>
      <w:numFmt w:val="decimal"/>
      <w:lvlText w:val="%4."/>
      <w:lvlJc w:val="left"/>
      <w:pPr>
        <w:ind w:leftChars="600" w:firstLine="0"/>
      </w:pPr>
    </w:lvl>
    <w:lvl w:ilvl="4" w:tentative="0">
      <w:start w:val="1"/>
      <w:numFmt w:val="lowerLetter"/>
      <w:lvlText w:val="%5."/>
      <w:lvlJc w:val="left"/>
      <w:pPr>
        <w:ind w:leftChars="800" w:hanging="336"/>
      </w:pPr>
    </w:lvl>
    <w:lvl w:ilvl="5" w:tentative="0">
      <w:start w:val="1"/>
      <w:numFmt w:val="lowerRoman"/>
      <w:lvlText w:val="%6."/>
      <w:lvlJc w:val="left"/>
      <w:pPr>
        <w:ind w:leftChars="1000" w:hanging="336"/>
      </w:pPr>
    </w:lvl>
    <w:lvl w:ilvl="6" w:tentative="0">
      <w:start w:val="1"/>
      <w:numFmt w:val="decimal"/>
      <w:lvlText w:val="%7."/>
      <w:lvlJc w:val="left"/>
      <w:pPr>
        <w:ind w:leftChars="1200" w:firstLine="0"/>
      </w:pPr>
    </w:lvl>
    <w:lvl w:ilvl="7" w:tentative="0">
      <w:start w:val="1"/>
      <w:numFmt w:val="lowerLetter"/>
      <w:lvlText w:val="%8."/>
      <w:lvlJc w:val="left"/>
      <w:pPr>
        <w:ind w:leftChars="1400" w:hanging="336"/>
      </w:pPr>
    </w:lvl>
    <w:lvl w:ilvl="8" w:tentative="0">
      <w:start w:val="1"/>
      <w:numFmt w:val="lowerRoman"/>
      <w:lvlText w:val="%9."/>
      <w:lvlJc w:val="left"/>
      <w:pPr>
        <w:ind w:leftChars="1600" w:hanging="336"/>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yNDZlYmIzNWQ5MDhkMzY0NzUwNzZkMTBmM2Y2MzcifQ=="/>
  </w:docVars>
  <w:rsids>
    <w:rsidRoot w:val="002D2441"/>
    <w:rsid w:val="00000350"/>
    <w:rsid w:val="00011078"/>
    <w:rsid w:val="00012DFE"/>
    <w:rsid w:val="00015740"/>
    <w:rsid w:val="00016087"/>
    <w:rsid w:val="000162ED"/>
    <w:rsid w:val="00024CD2"/>
    <w:rsid w:val="00026074"/>
    <w:rsid w:val="00030B19"/>
    <w:rsid w:val="00032B7C"/>
    <w:rsid w:val="00033F6A"/>
    <w:rsid w:val="00034032"/>
    <w:rsid w:val="00035CED"/>
    <w:rsid w:val="00036BAE"/>
    <w:rsid w:val="00040D85"/>
    <w:rsid w:val="00040E15"/>
    <w:rsid w:val="000412FC"/>
    <w:rsid w:val="00046096"/>
    <w:rsid w:val="0005015C"/>
    <w:rsid w:val="00053E43"/>
    <w:rsid w:val="000551F2"/>
    <w:rsid w:val="000557C9"/>
    <w:rsid w:val="0005673A"/>
    <w:rsid w:val="00056C65"/>
    <w:rsid w:val="000637BF"/>
    <w:rsid w:val="00063F6A"/>
    <w:rsid w:val="00064B4A"/>
    <w:rsid w:val="00065CB3"/>
    <w:rsid w:val="00065D19"/>
    <w:rsid w:val="000672DA"/>
    <w:rsid w:val="000824F1"/>
    <w:rsid w:val="00084474"/>
    <w:rsid w:val="0008487D"/>
    <w:rsid w:val="00087E8C"/>
    <w:rsid w:val="000977C3"/>
    <w:rsid w:val="000A3D51"/>
    <w:rsid w:val="000A48BB"/>
    <w:rsid w:val="000B12A1"/>
    <w:rsid w:val="000B41E3"/>
    <w:rsid w:val="000B4648"/>
    <w:rsid w:val="000B64CB"/>
    <w:rsid w:val="000D0345"/>
    <w:rsid w:val="000D2ECF"/>
    <w:rsid w:val="000E0653"/>
    <w:rsid w:val="000E341E"/>
    <w:rsid w:val="000E4A98"/>
    <w:rsid w:val="000E4B86"/>
    <w:rsid w:val="000E5EAB"/>
    <w:rsid w:val="000F480E"/>
    <w:rsid w:val="000F4A25"/>
    <w:rsid w:val="000F526B"/>
    <w:rsid w:val="000F57E8"/>
    <w:rsid w:val="000F6EAE"/>
    <w:rsid w:val="00102C78"/>
    <w:rsid w:val="001039E8"/>
    <w:rsid w:val="00104065"/>
    <w:rsid w:val="0010627A"/>
    <w:rsid w:val="00106A90"/>
    <w:rsid w:val="00111C33"/>
    <w:rsid w:val="00113AA7"/>
    <w:rsid w:val="00114000"/>
    <w:rsid w:val="0011510A"/>
    <w:rsid w:val="0012296D"/>
    <w:rsid w:val="00123D09"/>
    <w:rsid w:val="00124055"/>
    <w:rsid w:val="00125C6C"/>
    <w:rsid w:val="001267BD"/>
    <w:rsid w:val="0013461E"/>
    <w:rsid w:val="001350D7"/>
    <w:rsid w:val="001412D0"/>
    <w:rsid w:val="001434BA"/>
    <w:rsid w:val="00145EA1"/>
    <w:rsid w:val="00152AAE"/>
    <w:rsid w:val="00153E2B"/>
    <w:rsid w:val="00155E4C"/>
    <w:rsid w:val="00156ADA"/>
    <w:rsid w:val="00157555"/>
    <w:rsid w:val="001660DA"/>
    <w:rsid w:val="00172162"/>
    <w:rsid w:val="00174316"/>
    <w:rsid w:val="001751F0"/>
    <w:rsid w:val="0017522A"/>
    <w:rsid w:val="00175EAC"/>
    <w:rsid w:val="00177989"/>
    <w:rsid w:val="00183368"/>
    <w:rsid w:val="001859C4"/>
    <w:rsid w:val="00186E77"/>
    <w:rsid w:val="00191866"/>
    <w:rsid w:val="00193356"/>
    <w:rsid w:val="001958F0"/>
    <w:rsid w:val="00196A45"/>
    <w:rsid w:val="001A324D"/>
    <w:rsid w:val="001A3EE3"/>
    <w:rsid w:val="001A4EBB"/>
    <w:rsid w:val="001A4EC8"/>
    <w:rsid w:val="001A67CA"/>
    <w:rsid w:val="001B2D08"/>
    <w:rsid w:val="001B45A3"/>
    <w:rsid w:val="001B45CB"/>
    <w:rsid w:val="001B4C94"/>
    <w:rsid w:val="001B7DF3"/>
    <w:rsid w:val="001C2836"/>
    <w:rsid w:val="001D08A2"/>
    <w:rsid w:val="001D092F"/>
    <w:rsid w:val="001D11DB"/>
    <w:rsid w:val="001D2209"/>
    <w:rsid w:val="001D34B0"/>
    <w:rsid w:val="001D3F83"/>
    <w:rsid w:val="001E70FF"/>
    <w:rsid w:val="001E7452"/>
    <w:rsid w:val="001E7831"/>
    <w:rsid w:val="001F1D4E"/>
    <w:rsid w:val="001F4E5E"/>
    <w:rsid w:val="001F5629"/>
    <w:rsid w:val="00202FFB"/>
    <w:rsid w:val="002062A6"/>
    <w:rsid w:val="00206E6B"/>
    <w:rsid w:val="00207346"/>
    <w:rsid w:val="00211261"/>
    <w:rsid w:val="00214C1E"/>
    <w:rsid w:val="00214F9F"/>
    <w:rsid w:val="00215544"/>
    <w:rsid w:val="00220FF7"/>
    <w:rsid w:val="00221880"/>
    <w:rsid w:val="00222537"/>
    <w:rsid w:val="00223C1E"/>
    <w:rsid w:val="00225A71"/>
    <w:rsid w:val="00230240"/>
    <w:rsid w:val="0023181A"/>
    <w:rsid w:val="00233090"/>
    <w:rsid w:val="00233374"/>
    <w:rsid w:val="002416A0"/>
    <w:rsid w:val="0024201A"/>
    <w:rsid w:val="0024566A"/>
    <w:rsid w:val="002547B1"/>
    <w:rsid w:val="0025567D"/>
    <w:rsid w:val="00256688"/>
    <w:rsid w:val="00257F1F"/>
    <w:rsid w:val="00260077"/>
    <w:rsid w:val="00261E75"/>
    <w:rsid w:val="002627F3"/>
    <w:rsid w:val="0026473B"/>
    <w:rsid w:val="00265FC2"/>
    <w:rsid w:val="0026633C"/>
    <w:rsid w:val="0026638C"/>
    <w:rsid w:val="002718D5"/>
    <w:rsid w:val="00275E00"/>
    <w:rsid w:val="00276E58"/>
    <w:rsid w:val="002803BC"/>
    <w:rsid w:val="00280987"/>
    <w:rsid w:val="00282185"/>
    <w:rsid w:val="00285400"/>
    <w:rsid w:val="00290088"/>
    <w:rsid w:val="00290CB5"/>
    <w:rsid w:val="0029558F"/>
    <w:rsid w:val="00295C59"/>
    <w:rsid w:val="002A1B87"/>
    <w:rsid w:val="002A22A3"/>
    <w:rsid w:val="002A230C"/>
    <w:rsid w:val="002A2793"/>
    <w:rsid w:val="002A433D"/>
    <w:rsid w:val="002A651F"/>
    <w:rsid w:val="002B25A1"/>
    <w:rsid w:val="002B307E"/>
    <w:rsid w:val="002B5BDD"/>
    <w:rsid w:val="002C1CD4"/>
    <w:rsid w:val="002C7AEA"/>
    <w:rsid w:val="002C7B43"/>
    <w:rsid w:val="002D036E"/>
    <w:rsid w:val="002D09D4"/>
    <w:rsid w:val="002D2441"/>
    <w:rsid w:val="002D404E"/>
    <w:rsid w:val="002D56A6"/>
    <w:rsid w:val="002D5ABE"/>
    <w:rsid w:val="002D6620"/>
    <w:rsid w:val="002D6F55"/>
    <w:rsid w:val="002E005E"/>
    <w:rsid w:val="002E1420"/>
    <w:rsid w:val="002E4334"/>
    <w:rsid w:val="002F4B7E"/>
    <w:rsid w:val="002F5CE0"/>
    <w:rsid w:val="002F5DCB"/>
    <w:rsid w:val="002F76D1"/>
    <w:rsid w:val="002F7FCF"/>
    <w:rsid w:val="003007AA"/>
    <w:rsid w:val="003017CA"/>
    <w:rsid w:val="00302E01"/>
    <w:rsid w:val="00303F7D"/>
    <w:rsid w:val="00307BD9"/>
    <w:rsid w:val="003118D0"/>
    <w:rsid w:val="00311FF5"/>
    <w:rsid w:val="003120BC"/>
    <w:rsid w:val="003176BF"/>
    <w:rsid w:val="003204DC"/>
    <w:rsid w:val="003207FE"/>
    <w:rsid w:val="00320C28"/>
    <w:rsid w:val="00322024"/>
    <w:rsid w:val="00323FEF"/>
    <w:rsid w:val="00325FC9"/>
    <w:rsid w:val="003331ED"/>
    <w:rsid w:val="0033652E"/>
    <w:rsid w:val="003407E0"/>
    <w:rsid w:val="00343210"/>
    <w:rsid w:val="00343233"/>
    <w:rsid w:val="00343C0E"/>
    <w:rsid w:val="00345263"/>
    <w:rsid w:val="00350E32"/>
    <w:rsid w:val="003519E1"/>
    <w:rsid w:val="003536BE"/>
    <w:rsid w:val="00353842"/>
    <w:rsid w:val="003573D8"/>
    <w:rsid w:val="00362CC6"/>
    <w:rsid w:val="00364EEF"/>
    <w:rsid w:val="00366B0F"/>
    <w:rsid w:val="00371C51"/>
    <w:rsid w:val="00372C45"/>
    <w:rsid w:val="00374E86"/>
    <w:rsid w:val="00376487"/>
    <w:rsid w:val="00380F25"/>
    <w:rsid w:val="0038243E"/>
    <w:rsid w:val="00384932"/>
    <w:rsid w:val="003878CD"/>
    <w:rsid w:val="003879F8"/>
    <w:rsid w:val="00396DE3"/>
    <w:rsid w:val="003A07A8"/>
    <w:rsid w:val="003A0F5D"/>
    <w:rsid w:val="003A2564"/>
    <w:rsid w:val="003A6AD9"/>
    <w:rsid w:val="003A735F"/>
    <w:rsid w:val="003B0334"/>
    <w:rsid w:val="003B3558"/>
    <w:rsid w:val="003B3C60"/>
    <w:rsid w:val="003C2E42"/>
    <w:rsid w:val="003C5903"/>
    <w:rsid w:val="003C5E42"/>
    <w:rsid w:val="003C64F7"/>
    <w:rsid w:val="003C7DED"/>
    <w:rsid w:val="003D0543"/>
    <w:rsid w:val="003D2689"/>
    <w:rsid w:val="003E002D"/>
    <w:rsid w:val="003E1243"/>
    <w:rsid w:val="003E31FC"/>
    <w:rsid w:val="003E6811"/>
    <w:rsid w:val="003F0156"/>
    <w:rsid w:val="003F2809"/>
    <w:rsid w:val="003F3707"/>
    <w:rsid w:val="003F6998"/>
    <w:rsid w:val="003F79E0"/>
    <w:rsid w:val="003F7D8D"/>
    <w:rsid w:val="00402034"/>
    <w:rsid w:val="00403BDD"/>
    <w:rsid w:val="00404160"/>
    <w:rsid w:val="0040645A"/>
    <w:rsid w:val="00411849"/>
    <w:rsid w:val="00413367"/>
    <w:rsid w:val="00413F4D"/>
    <w:rsid w:val="004162B8"/>
    <w:rsid w:val="004166A9"/>
    <w:rsid w:val="004219DF"/>
    <w:rsid w:val="00422288"/>
    <w:rsid w:val="004242FC"/>
    <w:rsid w:val="00424361"/>
    <w:rsid w:val="00425B2D"/>
    <w:rsid w:val="00426428"/>
    <w:rsid w:val="00427C2B"/>
    <w:rsid w:val="00430607"/>
    <w:rsid w:val="00431067"/>
    <w:rsid w:val="00436761"/>
    <w:rsid w:val="00436D21"/>
    <w:rsid w:val="00440BD3"/>
    <w:rsid w:val="0044100D"/>
    <w:rsid w:val="0044200C"/>
    <w:rsid w:val="00442A7C"/>
    <w:rsid w:val="00442C45"/>
    <w:rsid w:val="00446166"/>
    <w:rsid w:val="00453B75"/>
    <w:rsid w:val="00457EE1"/>
    <w:rsid w:val="004648C8"/>
    <w:rsid w:val="00466C01"/>
    <w:rsid w:val="004674D1"/>
    <w:rsid w:val="00467606"/>
    <w:rsid w:val="00470010"/>
    <w:rsid w:val="00473147"/>
    <w:rsid w:val="0047444D"/>
    <w:rsid w:val="00474FA3"/>
    <w:rsid w:val="0047557F"/>
    <w:rsid w:val="00476680"/>
    <w:rsid w:val="004771B3"/>
    <w:rsid w:val="0048202C"/>
    <w:rsid w:val="0048333A"/>
    <w:rsid w:val="00484357"/>
    <w:rsid w:val="00484AA6"/>
    <w:rsid w:val="004853C8"/>
    <w:rsid w:val="00485F9E"/>
    <w:rsid w:val="004875A6"/>
    <w:rsid w:val="004932B7"/>
    <w:rsid w:val="00493F86"/>
    <w:rsid w:val="004940F8"/>
    <w:rsid w:val="004945E9"/>
    <w:rsid w:val="00495FE6"/>
    <w:rsid w:val="00496136"/>
    <w:rsid w:val="00496F14"/>
    <w:rsid w:val="00497326"/>
    <w:rsid w:val="004975EB"/>
    <w:rsid w:val="004979CE"/>
    <w:rsid w:val="004A0CAA"/>
    <w:rsid w:val="004A1628"/>
    <w:rsid w:val="004A35D4"/>
    <w:rsid w:val="004A5AF3"/>
    <w:rsid w:val="004A60E9"/>
    <w:rsid w:val="004A6269"/>
    <w:rsid w:val="004B06B0"/>
    <w:rsid w:val="004B1537"/>
    <w:rsid w:val="004B1BB1"/>
    <w:rsid w:val="004B1C72"/>
    <w:rsid w:val="004B767C"/>
    <w:rsid w:val="004B7B30"/>
    <w:rsid w:val="004C03B6"/>
    <w:rsid w:val="004C09BD"/>
    <w:rsid w:val="004C376C"/>
    <w:rsid w:val="004C51E6"/>
    <w:rsid w:val="004C61CB"/>
    <w:rsid w:val="004C65C4"/>
    <w:rsid w:val="004C6FEE"/>
    <w:rsid w:val="004C7B2C"/>
    <w:rsid w:val="004D411B"/>
    <w:rsid w:val="004D4B21"/>
    <w:rsid w:val="004E1488"/>
    <w:rsid w:val="004E1822"/>
    <w:rsid w:val="004E23CF"/>
    <w:rsid w:val="004E2872"/>
    <w:rsid w:val="004E2BF6"/>
    <w:rsid w:val="004E40DE"/>
    <w:rsid w:val="004E4958"/>
    <w:rsid w:val="004E67AC"/>
    <w:rsid w:val="004F2185"/>
    <w:rsid w:val="004F2A4A"/>
    <w:rsid w:val="00505D92"/>
    <w:rsid w:val="00505FC3"/>
    <w:rsid w:val="00506196"/>
    <w:rsid w:val="00506D2A"/>
    <w:rsid w:val="00506D88"/>
    <w:rsid w:val="00511629"/>
    <w:rsid w:val="005125B8"/>
    <w:rsid w:val="00512D42"/>
    <w:rsid w:val="00515E0D"/>
    <w:rsid w:val="00516765"/>
    <w:rsid w:val="005175FD"/>
    <w:rsid w:val="005201F4"/>
    <w:rsid w:val="00520239"/>
    <w:rsid w:val="00522684"/>
    <w:rsid w:val="00523404"/>
    <w:rsid w:val="00524C52"/>
    <w:rsid w:val="005252B7"/>
    <w:rsid w:val="0053026B"/>
    <w:rsid w:val="00531A9C"/>
    <w:rsid w:val="00532E0D"/>
    <w:rsid w:val="00536F57"/>
    <w:rsid w:val="00540117"/>
    <w:rsid w:val="005416E2"/>
    <w:rsid w:val="005444C2"/>
    <w:rsid w:val="00546789"/>
    <w:rsid w:val="005479DB"/>
    <w:rsid w:val="00552212"/>
    <w:rsid w:val="00552EB4"/>
    <w:rsid w:val="0055364D"/>
    <w:rsid w:val="00553A7E"/>
    <w:rsid w:val="00557CD6"/>
    <w:rsid w:val="005705C6"/>
    <w:rsid w:val="005809B6"/>
    <w:rsid w:val="005814BE"/>
    <w:rsid w:val="005900BF"/>
    <w:rsid w:val="0059682B"/>
    <w:rsid w:val="005A39D4"/>
    <w:rsid w:val="005A3E34"/>
    <w:rsid w:val="005A604A"/>
    <w:rsid w:val="005B5A89"/>
    <w:rsid w:val="005C3C17"/>
    <w:rsid w:val="005C67B9"/>
    <w:rsid w:val="005C6D08"/>
    <w:rsid w:val="005D0067"/>
    <w:rsid w:val="005D27DD"/>
    <w:rsid w:val="005D3008"/>
    <w:rsid w:val="005E14CF"/>
    <w:rsid w:val="005E1888"/>
    <w:rsid w:val="005E260C"/>
    <w:rsid w:val="005E3032"/>
    <w:rsid w:val="005E5B58"/>
    <w:rsid w:val="005E6040"/>
    <w:rsid w:val="005F124B"/>
    <w:rsid w:val="00605633"/>
    <w:rsid w:val="00607C83"/>
    <w:rsid w:val="0061328F"/>
    <w:rsid w:val="00613E49"/>
    <w:rsid w:val="00616871"/>
    <w:rsid w:val="00624156"/>
    <w:rsid w:val="006304F3"/>
    <w:rsid w:val="0063295E"/>
    <w:rsid w:val="00632C41"/>
    <w:rsid w:val="00634112"/>
    <w:rsid w:val="006348AA"/>
    <w:rsid w:val="006368ED"/>
    <w:rsid w:val="006400D9"/>
    <w:rsid w:val="006439A9"/>
    <w:rsid w:val="006521FF"/>
    <w:rsid w:val="0065620F"/>
    <w:rsid w:val="006622F2"/>
    <w:rsid w:val="00662C7B"/>
    <w:rsid w:val="006642A8"/>
    <w:rsid w:val="006672C1"/>
    <w:rsid w:val="00682760"/>
    <w:rsid w:val="00684C93"/>
    <w:rsid w:val="00690631"/>
    <w:rsid w:val="006922E1"/>
    <w:rsid w:val="006A08F3"/>
    <w:rsid w:val="006A5F07"/>
    <w:rsid w:val="006A70C8"/>
    <w:rsid w:val="006A7D6E"/>
    <w:rsid w:val="006B0E93"/>
    <w:rsid w:val="006B2332"/>
    <w:rsid w:val="006B4205"/>
    <w:rsid w:val="006B7AC3"/>
    <w:rsid w:val="006C1D4C"/>
    <w:rsid w:val="006C2B35"/>
    <w:rsid w:val="006C3DB0"/>
    <w:rsid w:val="006C5375"/>
    <w:rsid w:val="006C7427"/>
    <w:rsid w:val="006D00A5"/>
    <w:rsid w:val="006D1D47"/>
    <w:rsid w:val="006D3ABF"/>
    <w:rsid w:val="006D4F90"/>
    <w:rsid w:val="006D69DF"/>
    <w:rsid w:val="006D6D70"/>
    <w:rsid w:val="006E2C90"/>
    <w:rsid w:val="006E3C26"/>
    <w:rsid w:val="006E53E1"/>
    <w:rsid w:val="006E5ADA"/>
    <w:rsid w:val="006E5DEC"/>
    <w:rsid w:val="006E75F6"/>
    <w:rsid w:val="006E7701"/>
    <w:rsid w:val="006F0E2C"/>
    <w:rsid w:val="006F0E63"/>
    <w:rsid w:val="006F1812"/>
    <w:rsid w:val="006F1D47"/>
    <w:rsid w:val="006F2136"/>
    <w:rsid w:val="006F5497"/>
    <w:rsid w:val="006F7112"/>
    <w:rsid w:val="007015DB"/>
    <w:rsid w:val="0070275B"/>
    <w:rsid w:val="00703151"/>
    <w:rsid w:val="00705BC7"/>
    <w:rsid w:val="007060E0"/>
    <w:rsid w:val="007074A8"/>
    <w:rsid w:val="00707BC3"/>
    <w:rsid w:val="00707D5B"/>
    <w:rsid w:val="00710D26"/>
    <w:rsid w:val="00712E63"/>
    <w:rsid w:val="007142D5"/>
    <w:rsid w:val="00716C5C"/>
    <w:rsid w:val="00720A3B"/>
    <w:rsid w:val="00724B38"/>
    <w:rsid w:val="00726A67"/>
    <w:rsid w:val="00727DFA"/>
    <w:rsid w:val="00733B4B"/>
    <w:rsid w:val="00737C54"/>
    <w:rsid w:val="00740A0C"/>
    <w:rsid w:val="00742C0B"/>
    <w:rsid w:val="007456CE"/>
    <w:rsid w:val="00747A04"/>
    <w:rsid w:val="00747F56"/>
    <w:rsid w:val="00751328"/>
    <w:rsid w:val="00751F86"/>
    <w:rsid w:val="00755A2C"/>
    <w:rsid w:val="00756188"/>
    <w:rsid w:val="00756648"/>
    <w:rsid w:val="00757CB0"/>
    <w:rsid w:val="007614AE"/>
    <w:rsid w:val="00762935"/>
    <w:rsid w:val="007634F7"/>
    <w:rsid w:val="00763DEB"/>
    <w:rsid w:val="0076777D"/>
    <w:rsid w:val="007705D9"/>
    <w:rsid w:val="0077143A"/>
    <w:rsid w:val="007735A1"/>
    <w:rsid w:val="007737AD"/>
    <w:rsid w:val="00775281"/>
    <w:rsid w:val="00775B5B"/>
    <w:rsid w:val="00776DCA"/>
    <w:rsid w:val="00777CBD"/>
    <w:rsid w:val="00780AA1"/>
    <w:rsid w:val="007810C1"/>
    <w:rsid w:val="00785EC5"/>
    <w:rsid w:val="0078678C"/>
    <w:rsid w:val="00791F41"/>
    <w:rsid w:val="00793956"/>
    <w:rsid w:val="00793F2D"/>
    <w:rsid w:val="00794B0B"/>
    <w:rsid w:val="00794D39"/>
    <w:rsid w:val="00796931"/>
    <w:rsid w:val="007A04DF"/>
    <w:rsid w:val="007A1F2D"/>
    <w:rsid w:val="007A4FE3"/>
    <w:rsid w:val="007A70A7"/>
    <w:rsid w:val="007B11BF"/>
    <w:rsid w:val="007B271E"/>
    <w:rsid w:val="007B44FB"/>
    <w:rsid w:val="007B455F"/>
    <w:rsid w:val="007B636B"/>
    <w:rsid w:val="007C01CE"/>
    <w:rsid w:val="007C1D17"/>
    <w:rsid w:val="007C1E6E"/>
    <w:rsid w:val="007C3173"/>
    <w:rsid w:val="007C321A"/>
    <w:rsid w:val="007C3270"/>
    <w:rsid w:val="007C5A3F"/>
    <w:rsid w:val="007C5AA5"/>
    <w:rsid w:val="007C6B0F"/>
    <w:rsid w:val="007C7297"/>
    <w:rsid w:val="007C7AA1"/>
    <w:rsid w:val="007C7E70"/>
    <w:rsid w:val="007D1075"/>
    <w:rsid w:val="007D390A"/>
    <w:rsid w:val="007D570C"/>
    <w:rsid w:val="007E00C1"/>
    <w:rsid w:val="007E1A73"/>
    <w:rsid w:val="007E4207"/>
    <w:rsid w:val="007E5602"/>
    <w:rsid w:val="007F02C6"/>
    <w:rsid w:val="007F2141"/>
    <w:rsid w:val="007F41F3"/>
    <w:rsid w:val="007F5254"/>
    <w:rsid w:val="007F5751"/>
    <w:rsid w:val="00800927"/>
    <w:rsid w:val="008057E1"/>
    <w:rsid w:val="00812888"/>
    <w:rsid w:val="00817BA9"/>
    <w:rsid w:val="00817E07"/>
    <w:rsid w:val="00823A6A"/>
    <w:rsid w:val="0082660D"/>
    <w:rsid w:val="00826F01"/>
    <w:rsid w:val="00830F0F"/>
    <w:rsid w:val="0083190E"/>
    <w:rsid w:val="00835029"/>
    <w:rsid w:val="008366A7"/>
    <w:rsid w:val="008409A0"/>
    <w:rsid w:val="00842345"/>
    <w:rsid w:val="008449D9"/>
    <w:rsid w:val="00846C63"/>
    <w:rsid w:val="00851101"/>
    <w:rsid w:val="0085236A"/>
    <w:rsid w:val="008548D0"/>
    <w:rsid w:val="0085697F"/>
    <w:rsid w:val="008606FD"/>
    <w:rsid w:val="00860CAC"/>
    <w:rsid w:val="00862CC2"/>
    <w:rsid w:val="00863554"/>
    <w:rsid w:val="0086544E"/>
    <w:rsid w:val="008670F2"/>
    <w:rsid w:val="008715D4"/>
    <w:rsid w:val="00873C1E"/>
    <w:rsid w:val="00874ACF"/>
    <w:rsid w:val="008754B2"/>
    <w:rsid w:val="008755DF"/>
    <w:rsid w:val="00875B31"/>
    <w:rsid w:val="00876035"/>
    <w:rsid w:val="00876274"/>
    <w:rsid w:val="0087728B"/>
    <w:rsid w:val="00882F1E"/>
    <w:rsid w:val="0088522A"/>
    <w:rsid w:val="008859C5"/>
    <w:rsid w:val="00887893"/>
    <w:rsid w:val="00896E3E"/>
    <w:rsid w:val="008A378A"/>
    <w:rsid w:val="008A3E04"/>
    <w:rsid w:val="008A443B"/>
    <w:rsid w:val="008A5A71"/>
    <w:rsid w:val="008A63A1"/>
    <w:rsid w:val="008A695C"/>
    <w:rsid w:val="008B013C"/>
    <w:rsid w:val="008B05FB"/>
    <w:rsid w:val="008B59E1"/>
    <w:rsid w:val="008C07B5"/>
    <w:rsid w:val="008C1B41"/>
    <w:rsid w:val="008C399A"/>
    <w:rsid w:val="008D21E2"/>
    <w:rsid w:val="008D2D8B"/>
    <w:rsid w:val="008D43CA"/>
    <w:rsid w:val="008D6432"/>
    <w:rsid w:val="008D78D8"/>
    <w:rsid w:val="008E0F33"/>
    <w:rsid w:val="008F06B3"/>
    <w:rsid w:val="008F06D3"/>
    <w:rsid w:val="008F286B"/>
    <w:rsid w:val="008F46F1"/>
    <w:rsid w:val="009044FF"/>
    <w:rsid w:val="00905DF1"/>
    <w:rsid w:val="00912F02"/>
    <w:rsid w:val="009202BE"/>
    <w:rsid w:val="0092294C"/>
    <w:rsid w:val="0092298B"/>
    <w:rsid w:val="00923B5E"/>
    <w:rsid w:val="00925992"/>
    <w:rsid w:val="009277A3"/>
    <w:rsid w:val="0092787F"/>
    <w:rsid w:val="00930DB5"/>
    <w:rsid w:val="009317CC"/>
    <w:rsid w:val="009333C0"/>
    <w:rsid w:val="00934B81"/>
    <w:rsid w:val="009351A4"/>
    <w:rsid w:val="0093550A"/>
    <w:rsid w:val="00936188"/>
    <w:rsid w:val="00937220"/>
    <w:rsid w:val="00937C9A"/>
    <w:rsid w:val="00940B56"/>
    <w:rsid w:val="009432C0"/>
    <w:rsid w:val="00943350"/>
    <w:rsid w:val="009433DD"/>
    <w:rsid w:val="00945A57"/>
    <w:rsid w:val="00950104"/>
    <w:rsid w:val="00952742"/>
    <w:rsid w:val="00952CBF"/>
    <w:rsid w:val="00952E6F"/>
    <w:rsid w:val="00953C59"/>
    <w:rsid w:val="00955270"/>
    <w:rsid w:val="0095605B"/>
    <w:rsid w:val="00962006"/>
    <w:rsid w:val="00962BC7"/>
    <w:rsid w:val="009647E5"/>
    <w:rsid w:val="00965F7D"/>
    <w:rsid w:val="009758A9"/>
    <w:rsid w:val="00982ADB"/>
    <w:rsid w:val="00983200"/>
    <w:rsid w:val="009838A5"/>
    <w:rsid w:val="009846DC"/>
    <w:rsid w:val="00986915"/>
    <w:rsid w:val="0099190F"/>
    <w:rsid w:val="0099245A"/>
    <w:rsid w:val="00993F11"/>
    <w:rsid w:val="00994351"/>
    <w:rsid w:val="0099455D"/>
    <w:rsid w:val="00995673"/>
    <w:rsid w:val="009A0E0C"/>
    <w:rsid w:val="009A10C8"/>
    <w:rsid w:val="009A1B39"/>
    <w:rsid w:val="009A1D1A"/>
    <w:rsid w:val="009A3F81"/>
    <w:rsid w:val="009A4DEC"/>
    <w:rsid w:val="009B4452"/>
    <w:rsid w:val="009B5D40"/>
    <w:rsid w:val="009B6A7C"/>
    <w:rsid w:val="009B7C8B"/>
    <w:rsid w:val="009C102D"/>
    <w:rsid w:val="009C1E5D"/>
    <w:rsid w:val="009C3AC5"/>
    <w:rsid w:val="009C592E"/>
    <w:rsid w:val="009C7F67"/>
    <w:rsid w:val="009D01A1"/>
    <w:rsid w:val="009D2228"/>
    <w:rsid w:val="009D3E04"/>
    <w:rsid w:val="009D52CF"/>
    <w:rsid w:val="009E389B"/>
    <w:rsid w:val="009E45D1"/>
    <w:rsid w:val="009E5727"/>
    <w:rsid w:val="009E5771"/>
    <w:rsid w:val="009F0C34"/>
    <w:rsid w:val="009F1382"/>
    <w:rsid w:val="009F479A"/>
    <w:rsid w:val="009F4F57"/>
    <w:rsid w:val="009F4F79"/>
    <w:rsid w:val="00A05E80"/>
    <w:rsid w:val="00A06D24"/>
    <w:rsid w:val="00A076F1"/>
    <w:rsid w:val="00A07DD0"/>
    <w:rsid w:val="00A1027B"/>
    <w:rsid w:val="00A1334B"/>
    <w:rsid w:val="00A13AAA"/>
    <w:rsid w:val="00A166E3"/>
    <w:rsid w:val="00A22DFA"/>
    <w:rsid w:val="00A24A42"/>
    <w:rsid w:val="00A273C2"/>
    <w:rsid w:val="00A27618"/>
    <w:rsid w:val="00A2765E"/>
    <w:rsid w:val="00A27BF2"/>
    <w:rsid w:val="00A300D4"/>
    <w:rsid w:val="00A37307"/>
    <w:rsid w:val="00A433A5"/>
    <w:rsid w:val="00A45B57"/>
    <w:rsid w:val="00A50A35"/>
    <w:rsid w:val="00A5240C"/>
    <w:rsid w:val="00A54E8D"/>
    <w:rsid w:val="00A55456"/>
    <w:rsid w:val="00A6142F"/>
    <w:rsid w:val="00A62144"/>
    <w:rsid w:val="00A67E88"/>
    <w:rsid w:val="00A74327"/>
    <w:rsid w:val="00A74DDF"/>
    <w:rsid w:val="00A76DF3"/>
    <w:rsid w:val="00A93419"/>
    <w:rsid w:val="00A93641"/>
    <w:rsid w:val="00A96BEF"/>
    <w:rsid w:val="00A97EC5"/>
    <w:rsid w:val="00AA2177"/>
    <w:rsid w:val="00AA38BF"/>
    <w:rsid w:val="00AA44F1"/>
    <w:rsid w:val="00AB1799"/>
    <w:rsid w:val="00AC2DC4"/>
    <w:rsid w:val="00AC5462"/>
    <w:rsid w:val="00AD19B7"/>
    <w:rsid w:val="00AD37BA"/>
    <w:rsid w:val="00AD7D5D"/>
    <w:rsid w:val="00AD7D8D"/>
    <w:rsid w:val="00AE1C7D"/>
    <w:rsid w:val="00AE56C1"/>
    <w:rsid w:val="00AE5C66"/>
    <w:rsid w:val="00AE6CEA"/>
    <w:rsid w:val="00AE754F"/>
    <w:rsid w:val="00AE75F7"/>
    <w:rsid w:val="00AF1BF1"/>
    <w:rsid w:val="00AF44E0"/>
    <w:rsid w:val="00AF77E3"/>
    <w:rsid w:val="00B03D1A"/>
    <w:rsid w:val="00B06AF3"/>
    <w:rsid w:val="00B1233A"/>
    <w:rsid w:val="00B131B4"/>
    <w:rsid w:val="00B15EFD"/>
    <w:rsid w:val="00B16E4F"/>
    <w:rsid w:val="00B177F5"/>
    <w:rsid w:val="00B21A81"/>
    <w:rsid w:val="00B21C30"/>
    <w:rsid w:val="00B224BF"/>
    <w:rsid w:val="00B23437"/>
    <w:rsid w:val="00B23722"/>
    <w:rsid w:val="00B24108"/>
    <w:rsid w:val="00B26186"/>
    <w:rsid w:val="00B26E0C"/>
    <w:rsid w:val="00B304B6"/>
    <w:rsid w:val="00B3456D"/>
    <w:rsid w:val="00B3628B"/>
    <w:rsid w:val="00B36DC9"/>
    <w:rsid w:val="00B404C1"/>
    <w:rsid w:val="00B4229B"/>
    <w:rsid w:val="00B42E4A"/>
    <w:rsid w:val="00B45BF5"/>
    <w:rsid w:val="00B50212"/>
    <w:rsid w:val="00B505B6"/>
    <w:rsid w:val="00B53A34"/>
    <w:rsid w:val="00B53FA4"/>
    <w:rsid w:val="00B543E0"/>
    <w:rsid w:val="00B550AA"/>
    <w:rsid w:val="00B55B5B"/>
    <w:rsid w:val="00B5705E"/>
    <w:rsid w:val="00B57357"/>
    <w:rsid w:val="00B60162"/>
    <w:rsid w:val="00B60485"/>
    <w:rsid w:val="00B611AB"/>
    <w:rsid w:val="00B61B9B"/>
    <w:rsid w:val="00B66FDC"/>
    <w:rsid w:val="00B72A58"/>
    <w:rsid w:val="00B75CC8"/>
    <w:rsid w:val="00B76320"/>
    <w:rsid w:val="00B7683B"/>
    <w:rsid w:val="00B76C2A"/>
    <w:rsid w:val="00B775BF"/>
    <w:rsid w:val="00B77F93"/>
    <w:rsid w:val="00B8387D"/>
    <w:rsid w:val="00B872DF"/>
    <w:rsid w:val="00B87B4F"/>
    <w:rsid w:val="00B87F43"/>
    <w:rsid w:val="00B9213E"/>
    <w:rsid w:val="00B9304B"/>
    <w:rsid w:val="00B9470D"/>
    <w:rsid w:val="00B9640F"/>
    <w:rsid w:val="00BA0A08"/>
    <w:rsid w:val="00BA1BBF"/>
    <w:rsid w:val="00BA307C"/>
    <w:rsid w:val="00BA34F6"/>
    <w:rsid w:val="00BB058D"/>
    <w:rsid w:val="00BB3FCB"/>
    <w:rsid w:val="00BB4BA7"/>
    <w:rsid w:val="00BB4FF2"/>
    <w:rsid w:val="00BC16C4"/>
    <w:rsid w:val="00BC42CA"/>
    <w:rsid w:val="00BC548A"/>
    <w:rsid w:val="00BE0596"/>
    <w:rsid w:val="00BE466A"/>
    <w:rsid w:val="00BE4771"/>
    <w:rsid w:val="00BE6B4F"/>
    <w:rsid w:val="00BE6B9E"/>
    <w:rsid w:val="00BE761C"/>
    <w:rsid w:val="00BF0E03"/>
    <w:rsid w:val="00BF1FB8"/>
    <w:rsid w:val="00BF2823"/>
    <w:rsid w:val="00BF369A"/>
    <w:rsid w:val="00C02058"/>
    <w:rsid w:val="00C04A00"/>
    <w:rsid w:val="00C053E4"/>
    <w:rsid w:val="00C07F8C"/>
    <w:rsid w:val="00C14C46"/>
    <w:rsid w:val="00C15DD7"/>
    <w:rsid w:val="00C17B86"/>
    <w:rsid w:val="00C2191B"/>
    <w:rsid w:val="00C2238B"/>
    <w:rsid w:val="00C235EE"/>
    <w:rsid w:val="00C241F0"/>
    <w:rsid w:val="00C26C31"/>
    <w:rsid w:val="00C30530"/>
    <w:rsid w:val="00C30BF0"/>
    <w:rsid w:val="00C32DD5"/>
    <w:rsid w:val="00C33AF8"/>
    <w:rsid w:val="00C35FEA"/>
    <w:rsid w:val="00C369B0"/>
    <w:rsid w:val="00C43394"/>
    <w:rsid w:val="00C44814"/>
    <w:rsid w:val="00C46118"/>
    <w:rsid w:val="00C46164"/>
    <w:rsid w:val="00C541EB"/>
    <w:rsid w:val="00C56863"/>
    <w:rsid w:val="00C5733E"/>
    <w:rsid w:val="00C600DC"/>
    <w:rsid w:val="00C6143B"/>
    <w:rsid w:val="00C63346"/>
    <w:rsid w:val="00C63FE2"/>
    <w:rsid w:val="00C653B6"/>
    <w:rsid w:val="00C7038C"/>
    <w:rsid w:val="00C72141"/>
    <w:rsid w:val="00C73813"/>
    <w:rsid w:val="00C73822"/>
    <w:rsid w:val="00C747F2"/>
    <w:rsid w:val="00C767E4"/>
    <w:rsid w:val="00C8063E"/>
    <w:rsid w:val="00C81098"/>
    <w:rsid w:val="00C81848"/>
    <w:rsid w:val="00C83EC0"/>
    <w:rsid w:val="00C8405F"/>
    <w:rsid w:val="00C84EBB"/>
    <w:rsid w:val="00C85762"/>
    <w:rsid w:val="00C8595D"/>
    <w:rsid w:val="00C918B3"/>
    <w:rsid w:val="00C91A95"/>
    <w:rsid w:val="00C95DE1"/>
    <w:rsid w:val="00C96D14"/>
    <w:rsid w:val="00C9742B"/>
    <w:rsid w:val="00C97550"/>
    <w:rsid w:val="00CA1B7E"/>
    <w:rsid w:val="00CA2A12"/>
    <w:rsid w:val="00CA4632"/>
    <w:rsid w:val="00CA5D9F"/>
    <w:rsid w:val="00CB533F"/>
    <w:rsid w:val="00CB5D8F"/>
    <w:rsid w:val="00CC0433"/>
    <w:rsid w:val="00CC0835"/>
    <w:rsid w:val="00CC3C3F"/>
    <w:rsid w:val="00CC7CF1"/>
    <w:rsid w:val="00CD0A58"/>
    <w:rsid w:val="00CD11FF"/>
    <w:rsid w:val="00CD163D"/>
    <w:rsid w:val="00CD68ED"/>
    <w:rsid w:val="00CD73D3"/>
    <w:rsid w:val="00CD7793"/>
    <w:rsid w:val="00CE227D"/>
    <w:rsid w:val="00CE2B23"/>
    <w:rsid w:val="00CE2D27"/>
    <w:rsid w:val="00CE391A"/>
    <w:rsid w:val="00CE39BA"/>
    <w:rsid w:val="00CE48BD"/>
    <w:rsid w:val="00CE5402"/>
    <w:rsid w:val="00CF1227"/>
    <w:rsid w:val="00CF481C"/>
    <w:rsid w:val="00CF5780"/>
    <w:rsid w:val="00D011EA"/>
    <w:rsid w:val="00D042F4"/>
    <w:rsid w:val="00D04D0A"/>
    <w:rsid w:val="00D078FF"/>
    <w:rsid w:val="00D079BC"/>
    <w:rsid w:val="00D14228"/>
    <w:rsid w:val="00D15AC6"/>
    <w:rsid w:val="00D17A7C"/>
    <w:rsid w:val="00D202F8"/>
    <w:rsid w:val="00D20666"/>
    <w:rsid w:val="00D22AE8"/>
    <w:rsid w:val="00D25A07"/>
    <w:rsid w:val="00D35F22"/>
    <w:rsid w:val="00D36D2F"/>
    <w:rsid w:val="00D43638"/>
    <w:rsid w:val="00D453DA"/>
    <w:rsid w:val="00D471FA"/>
    <w:rsid w:val="00D52EEA"/>
    <w:rsid w:val="00D540E1"/>
    <w:rsid w:val="00D54406"/>
    <w:rsid w:val="00D55F0D"/>
    <w:rsid w:val="00D626EA"/>
    <w:rsid w:val="00D65434"/>
    <w:rsid w:val="00D67F50"/>
    <w:rsid w:val="00D73989"/>
    <w:rsid w:val="00D80EBD"/>
    <w:rsid w:val="00D81E34"/>
    <w:rsid w:val="00D8251F"/>
    <w:rsid w:val="00D83BC4"/>
    <w:rsid w:val="00D83D8A"/>
    <w:rsid w:val="00D8412D"/>
    <w:rsid w:val="00D86AED"/>
    <w:rsid w:val="00D878F2"/>
    <w:rsid w:val="00D949B4"/>
    <w:rsid w:val="00D94B28"/>
    <w:rsid w:val="00D94D42"/>
    <w:rsid w:val="00D953B1"/>
    <w:rsid w:val="00DA022D"/>
    <w:rsid w:val="00DA0BD9"/>
    <w:rsid w:val="00DA0F1B"/>
    <w:rsid w:val="00DA1DBF"/>
    <w:rsid w:val="00DA48B7"/>
    <w:rsid w:val="00DA4DA0"/>
    <w:rsid w:val="00DA5E21"/>
    <w:rsid w:val="00DB42BE"/>
    <w:rsid w:val="00DB7CEA"/>
    <w:rsid w:val="00DC05FE"/>
    <w:rsid w:val="00DC11D3"/>
    <w:rsid w:val="00DC6A83"/>
    <w:rsid w:val="00DD1097"/>
    <w:rsid w:val="00DD2E17"/>
    <w:rsid w:val="00DD49A1"/>
    <w:rsid w:val="00DE130A"/>
    <w:rsid w:val="00DE21CB"/>
    <w:rsid w:val="00DE438D"/>
    <w:rsid w:val="00DE6783"/>
    <w:rsid w:val="00DE67E8"/>
    <w:rsid w:val="00DF18F7"/>
    <w:rsid w:val="00DF3128"/>
    <w:rsid w:val="00E01755"/>
    <w:rsid w:val="00E017F6"/>
    <w:rsid w:val="00E01B25"/>
    <w:rsid w:val="00E023FE"/>
    <w:rsid w:val="00E045EB"/>
    <w:rsid w:val="00E05ACD"/>
    <w:rsid w:val="00E05D5A"/>
    <w:rsid w:val="00E072B8"/>
    <w:rsid w:val="00E07517"/>
    <w:rsid w:val="00E07FBD"/>
    <w:rsid w:val="00E10C38"/>
    <w:rsid w:val="00E141E5"/>
    <w:rsid w:val="00E2009B"/>
    <w:rsid w:val="00E20B0D"/>
    <w:rsid w:val="00E2123B"/>
    <w:rsid w:val="00E22AB3"/>
    <w:rsid w:val="00E22C8F"/>
    <w:rsid w:val="00E2536F"/>
    <w:rsid w:val="00E26A42"/>
    <w:rsid w:val="00E27C03"/>
    <w:rsid w:val="00E3010B"/>
    <w:rsid w:val="00E31C1F"/>
    <w:rsid w:val="00E40035"/>
    <w:rsid w:val="00E41D1F"/>
    <w:rsid w:val="00E4672E"/>
    <w:rsid w:val="00E4710B"/>
    <w:rsid w:val="00E475DE"/>
    <w:rsid w:val="00E5014B"/>
    <w:rsid w:val="00E51B5C"/>
    <w:rsid w:val="00E51EE5"/>
    <w:rsid w:val="00E52CDF"/>
    <w:rsid w:val="00E52E52"/>
    <w:rsid w:val="00E54474"/>
    <w:rsid w:val="00E54A28"/>
    <w:rsid w:val="00E60EF6"/>
    <w:rsid w:val="00E6317C"/>
    <w:rsid w:val="00E648FD"/>
    <w:rsid w:val="00E64FD1"/>
    <w:rsid w:val="00E65C94"/>
    <w:rsid w:val="00E66B16"/>
    <w:rsid w:val="00E70072"/>
    <w:rsid w:val="00E715AE"/>
    <w:rsid w:val="00E71B82"/>
    <w:rsid w:val="00E7216F"/>
    <w:rsid w:val="00E72B52"/>
    <w:rsid w:val="00E74C5B"/>
    <w:rsid w:val="00E90B5E"/>
    <w:rsid w:val="00E91666"/>
    <w:rsid w:val="00E945F9"/>
    <w:rsid w:val="00E95B87"/>
    <w:rsid w:val="00E968AF"/>
    <w:rsid w:val="00EA42C6"/>
    <w:rsid w:val="00EA5357"/>
    <w:rsid w:val="00EA572F"/>
    <w:rsid w:val="00EA574E"/>
    <w:rsid w:val="00EA6A84"/>
    <w:rsid w:val="00EA7424"/>
    <w:rsid w:val="00EA764A"/>
    <w:rsid w:val="00EA79DC"/>
    <w:rsid w:val="00EB1B09"/>
    <w:rsid w:val="00EB6428"/>
    <w:rsid w:val="00EC0219"/>
    <w:rsid w:val="00EC0801"/>
    <w:rsid w:val="00EC0960"/>
    <w:rsid w:val="00EC0FF5"/>
    <w:rsid w:val="00EC1883"/>
    <w:rsid w:val="00EC5411"/>
    <w:rsid w:val="00EC6C82"/>
    <w:rsid w:val="00EC6F56"/>
    <w:rsid w:val="00EC6F9E"/>
    <w:rsid w:val="00ED0748"/>
    <w:rsid w:val="00ED58B5"/>
    <w:rsid w:val="00ED7CA3"/>
    <w:rsid w:val="00EE1474"/>
    <w:rsid w:val="00EE36B0"/>
    <w:rsid w:val="00EE4728"/>
    <w:rsid w:val="00EE5CAB"/>
    <w:rsid w:val="00EE7E0D"/>
    <w:rsid w:val="00EF7281"/>
    <w:rsid w:val="00F0018F"/>
    <w:rsid w:val="00F013C6"/>
    <w:rsid w:val="00F034B2"/>
    <w:rsid w:val="00F036AD"/>
    <w:rsid w:val="00F04199"/>
    <w:rsid w:val="00F07687"/>
    <w:rsid w:val="00F1139D"/>
    <w:rsid w:val="00F11A89"/>
    <w:rsid w:val="00F11CDD"/>
    <w:rsid w:val="00F124ED"/>
    <w:rsid w:val="00F15390"/>
    <w:rsid w:val="00F20040"/>
    <w:rsid w:val="00F22CA5"/>
    <w:rsid w:val="00F23175"/>
    <w:rsid w:val="00F2784F"/>
    <w:rsid w:val="00F31D74"/>
    <w:rsid w:val="00F402E8"/>
    <w:rsid w:val="00F441B9"/>
    <w:rsid w:val="00F44A4E"/>
    <w:rsid w:val="00F4691D"/>
    <w:rsid w:val="00F46A9C"/>
    <w:rsid w:val="00F526FE"/>
    <w:rsid w:val="00F5360A"/>
    <w:rsid w:val="00F54FD4"/>
    <w:rsid w:val="00F5618B"/>
    <w:rsid w:val="00F60570"/>
    <w:rsid w:val="00F6411C"/>
    <w:rsid w:val="00F65B7B"/>
    <w:rsid w:val="00F70D41"/>
    <w:rsid w:val="00F737FF"/>
    <w:rsid w:val="00F743C3"/>
    <w:rsid w:val="00F74D5C"/>
    <w:rsid w:val="00F76B16"/>
    <w:rsid w:val="00F812AA"/>
    <w:rsid w:val="00F82074"/>
    <w:rsid w:val="00F82EF4"/>
    <w:rsid w:val="00F86742"/>
    <w:rsid w:val="00F91F81"/>
    <w:rsid w:val="00F92778"/>
    <w:rsid w:val="00F960D1"/>
    <w:rsid w:val="00FA0727"/>
    <w:rsid w:val="00FA4ABA"/>
    <w:rsid w:val="00FB0BFF"/>
    <w:rsid w:val="00FB53EF"/>
    <w:rsid w:val="00FB5B12"/>
    <w:rsid w:val="00FB5D56"/>
    <w:rsid w:val="00FC349B"/>
    <w:rsid w:val="00FC3B73"/>
    <w:rsid w:val="00FD05EF"/>
    <w:rsid w:val="00FD186D"/>
    <w:rsid w:val="00FD357E"/>
    <w:rsid w:val="00FE1846"/>
    <w:rsid w:val="00FE1B8E"/>
    <w:rsid w:val="00FE1EB1"/>
    <w:rsid w:val="00FE5912"/>
    <w:rsid w:val="00FE5D94"/>
    <w:rsid w:val="00FE7587"/>
    <w:rsid w:val="00FF0A83"/>
    <w:rsid w:val="00FF1BAA"/>
    <w:rsid w:val="01672165"/>
    <w:rsid w:val="01B60997"/>
    <w:rsid w:val="02EEB154"/>
    <w:rsid w:val="04BE1013"/>
    <w:rsid w:val="062261AE"/>
    <w:rsid w:val="06761383"/>
    <w:rsid w:val="077C6CAB"/>
    <w:rsid w:val="07A1593E"/>
    <w:rsid w:val="07DB2536"/>
    <w:rsid w:val="08CF4D81"/>
    <w:rsid w:val="0904301B"/>
    <w:rsid w:val="0A696694"/>
    <w:rsid w:val="0AD5D3D8"/>
    <w:rsid w:val="0B2B77D7"/>
    <w:rsid w:val="0B3C14B0"/>
    <w:rsid w:val="0C96415B"/>
    <w:rsid w:val="0D745D2B"/>
    <w:rsid w:val="0DC46A73"/>
    <w:rsid w:val="0E94058E"/>
    <w:rsid w:val="0FF7F488"/>
    <w:rsid w:val="107C119C"/>
    <w:rsid w:val="12C64711"/>
    <w:rsid w:val="133B0D0B"/>
    <w:rsid w:val="142B434D"/>
    <w:rsid w:val="14331E76"/>
    <w:rsid w:val="14413899"/>
    <w:rsid w:val="15643EBB"/>
    <w:rsid w:val="15A20540"/>
    <w:rsid w:val="18023182"/>
    <w:rsid w:val="187176B1"/>
    <w:rsid w:val="1B0A4434"/>
    <w:rsid w:val="1D590DBC"/>
    <w:rsid w:val="1DA65BF0"/>
    <w:rsid w:val="1DBF9628"/>
    <w:rsid w:val="1DFA1234"/>
    <w:rsid w:val="1DFFBFE0"/>
    <w:rsid w:val="1E7D7482"/>
    <w:rsid w:val="1E9A7F81"/>
    <w:rsid w:val="1EDD3109"/>
    <w:rsid w:val="1FFCBA97"/>
    <w:rsid w:val="20657B13"/>
    <w:rsid w:val="20D45EA3"/>
    <w:rsid w:val="20DF47CB"/>
    <w:rsid w:val="22D43807"/>
    <w:rsid w:val="232BA446"/>
    <w:rsid w:val="23334270"/>
    <w:rsid w:val="23334578"/>
    <w:rsid w:val="2341058A"/>
    <w:rsid w:val="236C489A"/>
    <w:rsid w:val="23CC4D6F"/>
    <w:rsid w:val="24201EDC"/>
    <w:rsid w:val="246C5192"/>
    <w:rsid w:val="24950B75"/>
    <w:rsid w:val="24A216A6"/>
    <w:rsid w:val="25565D27"/>
    <w:rsid w:val="26256EA1"/>
    <w:rsid w:val="26A06F6E"/>
    <w:rsid w:val="26BE7862"/>
    <w:rsid w:val="26DD3EFD"/>
    <w:rsid w:val="276A6ABD"/>
    <w:rsid w:val="277DB615"/>
    <w:rsid w:val="27966C3B"/>
    <w:rsid w:val="27FB8B8A"/>
    <w:rsid w:val="282835C4"/>
    <w:rsid w:val="299F1E59"/>
    <w:rsid w:val="2A6E402D"/>
    <w:rsid w:val="2A9C6F03"/>
    <w:rsid w:val="2AD40BD1"/>
    <w:rsid w:val="2B984CD4"/>
    <w:rsid w:val="2C286022"/>
    <w:rsid w:val="2CDD127A"/>
    <w:rsid w:val="2CE7ED09"/>
    <w:rsid w:val="2CF60089"/>
    <w:rsid w:val="2D7E69F8"/>
    <w:rsid w:val="2DBF0280"/>
    <w:rsid w:val="2DEFBFB9"/>
    <w:rsid w:val="2DFE7B2E"/>
    <w:rsid w:val="2FAE5C27"/>
    <w:rsid w:val="2FFF9C15"/>
    <w:rsid w:val="30AE44F5"/>
    <w:rsid w:val="30FF59C7"/>
    <w:rsid w:val="321603A4"/>
    <w:rsid w:val="32BC466C"/>
    <w:rsid w:val="333D67B4"/>
    <w:rsid w:val="33AFEAC9"/>
    <w:rsid w:val="33DFBBE6"/>
    <w:rsid w:val="33FF0734"/>
    <w:rsid w:val="33FF2D3D"/>
    <w:rsid w:val="34FC472E"/>
    <w:rsid w:val="35B96D0E"/>
    <w:rsid w:val="36FB2986"/>
    <w:rsid w:val="36FBA351"/>
    <w:rsid w:val="37483A77"/>
    <w:rsid w:val="37703A88"/>
    <w:rsid w:val="37FDDDBB"/>
    <w:rsid w:val="38C64F23"/>
    <w:rsid w:val="395B346A"/>
    <w:rsid w:val="3977080F"/>
    <w:rsid w:val="39F90391"/>
    <w:rsid w:val="3B0B6CC6"/>
    <w:rsid w:val="3B1F3908"/>
    <w:rsid w:val="3B5FCA7E"/>
    <w:rsid w:val="3BEFF4CB"/>
    <w:rsid w:val="3C7E15AD"/>
    <w:rsid w:val="3C972A1A"/>
    <w:rsid w:val="3D7F2D07"/>
    <w:rsid w:val="3DEFC550"/>
    <w:rsid w:val="3E1B25A3"/>
    <w:rsid w:val="3EAD240E"/>
    <w:rsid w:val="3F736801"/>
    <w:rsid w:val="3F8B839F"/>
    <w:rsid w:val="3F9FF123"/>
    <w:rsid w:val="3FBE1AE7"/>
    <w:rsid w:val="3FDD7C87"/>
    <w:rsid w:val="3FDF7477"/>
    <w:rsid w:val="3FF774A6"/>
    <w:rsid w:val="3FFA26D0"/>
    <w:rsid w:val="3FFDD159"/>
    <w:rsid w:val="3FFE9542"/>
    <w:rsid w:val="3FFF4451"/>
    <w:rsid w:val="3FFFA0F5"/>
    <w:rsid w:val="41B359D9"/>
    <w:rsid w:val="41C757A4"/>
    <w:rsid w:val="457427E3"/>
    <w:rsid w:val="457D1A30"/>
    <w:rsid w:val="45B6583D"/>
    <w:rsid w:val="46FE1419"/>
    <w:rsid w:val="47660391"/>
    <w:rsid w:val="485920B6"/>
    <w:rsid w:val="48CA64B8"/>
    <w:rsid w:val="49834CA2"/>
    <w:rsid w:val="49CA4084"/>
    <w:rsid w:val="4ABD382C"/>
    <w:rsid w:val="4AC5762D"/>
    <w:rsid w:val="4B722A00"/>
    <w:rsid w:val="4B7FA331"/>
    <w:rsid w:val="4BBEA646"/>
    <w:rsid w:val="4BC7831D"/>
    <w:rsid w:val="4C7FF8E0"/>
    <w:rsid w:val="4CD034F5"/>
    <w:rsid w:val="4DBDAEC2"/>
    <w:rsid w:val="4FF13DFE"/>
    <w:rsid w:val="5299062C"/>
    <w:rsid w:val="53265290"/>
    <w:rsid w:val="533F5D30"/>
    <w:rsid w:val="53610379"/>
    <w:rsid w:val="53FB66FF"/>
    <w:rsid w:val="548C5FED"/>
    <w:rsid w:val="555BCCCF"/>
    <w:rsid w:val="555C1004"/>
    <w:rsid w:val="56482F9B"/>
    <w:rsid w:val="57914A08"/>
    <w:rsid w:val="579748C4"/>
    <w:rsid w:val="57FF0FC9"/>
    <w:rsid w:val="57FFB3D0"/>
    <w:rsid w:val="5842740D"/>
    <w:rsid w:val="58C21ED8"/>
    <w:rsid w:val="593041E0"/>
    <w:rsid w:val="59354852"/>
    <w:rsid w:val="59B6638E"/>
    <w:rsid w:val="59EF0D32"/>
    <w:rsid w:val="59FFE684"/>
    <w:rsid w:val="5A6F058C"/>
    <w:rsid w:val="5AF7653C"/>
    <w:rsid w:val="5AFB2294"/>
    <w:rsid w:val="5B0950EB"/>
    <w:rsid w:val="5B2321E6"/>
    <w:rsid w:val="5BDD4BC2"/>
    <w:rsid w:val="5BFB1078"/>
    <w:rsid w:val="5D2466DF"/>
    <w:rsid w:val="5D716A3E"/>
    <w:rsid w:val="5D778AEF"/>
    <w:rsid w:val="5D9E2A07"/>
    <w:rsid w:val="5DEFDA71"/>
    <w:rsid w:val="5DFBE9A1"/>
    <w:rsid w:val="5E5C4A53"/>
    <w:rsid w:val="5EB70B2C"/>
    <w:rsid w:val="5ED640FE"/>
    <w:rsid w:val="5EF67E75"/>
    <w:rsid w:val="5F2FAB8E"/>
    <w:rsid w:val="5F46506B"/>
    <w:rsid w:val="5F7F375B"/>
    <w:rsid w:val="5FBF1A9D"/>
    <w:rsid w:val="5FBF753A"/>
    <w:rsid w:val="5FFB569D"/>
    <w:rsid w:val="5FFF5976"/>
    <w:rsid w:val="5FFFA065"/>
    <w:rsid w:val="60324F33"/>
    <w:rsid w:val="61344E5D"/>
    <w:rsid w:val="613C3374"/>
    <w:rsid w:val="61512CF3"/>
    <w:rsid w:val="631A1183"/>
    <w:rsid w:val="63AD0DEC"/>
    <w:rsid w:val="63FE0BD5"/>
    <w:rsid w:val="64837769"/>
    <w:rsid w:val="66097669"/>
    <w:rsid w:val="666A6251"/>
    <w:rsid w:val="6677B3C0"/>
    <w:rsid w:val="66D4B2D6"/>
    <w:rsid w:val="66DF05F2"/>
    <w:rsid w:val="679A2F12"/>
    <w:rsid w:val="67FDD77D"/>
    <w:rsid w:val="683339B8"/>
    <w:rsid w:val="68540EE4"/>
    <w:rsid w:val="69AD54D1"/>
    <w:rsid w:val="6AA46197"/>
    <w:rsid w:val="6AC5A936"/>
    <w:rsid w:val="6AE46CF7"/>
    <w:rsid w:val="6B61016D"/>
    <w:rsid w:val="6BBCFA90"/>
    <w:rsid w:val="6BBDB906"/>
    <w:rsid w:val="6BCE785E"/>
    <w:rsid w:val="6BDE3B13"/>
    <w:rsid w:val="6BFB148C"/>
    <w:rsid w:val="6BFFC0FA"/>
    <w:rsid w:val="6C684FFC"/>
    <w:rsid w:val="6C8224DF"/>
    <w:rsid w:val="6CFBF019"/>
    <w:rsid w:val="6D5F643B"/>
    <w:rsid w:val="6D5F7533"/>
    <w:rsid w:val="6D7E51B5"/>
    <w:rsid w:val="6D7E5202"/>
    <w:rsid w:val="6D896FC3"/>
    <w:rsid w:val="6DA96D41"/>
    <w:rsid w:val="6DBD4A41"/>
    <w:rsid w:val="6DBF0909"/>
    <w:rsid w:val="6E74592C"/>
    <w:rsid w:val="6E9FE437"/>
    <w:rsid w:val="6EDF97BE"/>
    <w:rsid w:val="6EEADB06"/>
    <w:rsid w:val="6EEE6673"/>
    <w:rsid w:val="6EEEC558"/>
    <w:rsid w:val="6EFAA0B7"/>
    <w:rsid w:val="6F1442BF"/>
    <w:rsid w:val="6F1791B1"/>
    <w:rsid w:val="6F55B589"/>
    <w:rsid w:val="6F5FC07C"/>
    <w:rsid w:val="6F7F2AF8"/>
    <w:rsid w:val="6FAD1D27"/>
    <w:rsid w:val="6FBF8CE8"/>
    <w:rsid w:val="6FBFD5B9"/>
    <w:rsid w:val="6FDAF579"/>
    <w:rsid w:val="6FEFCF14"/>
    <w:rsid w:val="6FFE9954"/>
    <w:rsid w:val="6FFEB9B4"/>
    <w:rsid w:val="6FFFF151"/>
    <w:rsid w:val="70EC273E"/>
    <w:rsid w:val="70F02712"/>
    <w:rsid w:val="717E17A4"/>
    <w:rsid w:val="71B4614A"/>
    <w:rsid w:val="71EC40BC"/>
    <w:rsid w:val="72294EDE"/>
    <w:rsid w:val="724D5408"/>
    <w:rsid w:val="737F37D0"/>
    <w:rsid w:val="737FFC41"/>
    <w:rsid w:val="73F2C989"/>
    <w:rsid w:val="73FFE860"/>
    <w:rsid w:val="740D4274"/>
    <w:rsid w:val="74341C53"/>
    <w:rsid w:val="74486D25"/>
    <w:rsid w:val="744FDA60"/>
    <w:rsid w:val="74A04EFA"/>
    <w:rsid w:val="74E03A89"/>
    <w:rsid w:val="74EA0887"/>
    <w:rsid w:val="756F726D"/>
    <w:rsid w:val="75AEB7BF"/>
    <w:rsid w:val="75BAD9C5"/>
    <w:rsid w:val="75F54CD0"/>
    <w:rsid w:val="76446012"/>
    <w:rsid w:val="776972E8"/>
    <w:rsid w:val="77921091"/>
    <w:rsid w:val="77DFAE2D"/>
    <w:rsid w:val="77F6778E"/>
    <w:rsid w:val="77F99C9A"/>
    <w:rsid w:val="77FC5431"/>
    <w:rsid w:val="77FE8EED"/>
    <w:rsid w:val="77FF38C1"/>
    <w:rsid w:val="77FF4340"/>
    <w:rsid w:val="78F63E83"/>
    <w:rsid w:val="795F4354"/>
    <w:rsid w:val="79BF2C31"/>
    <w:rsid w:val="79D258CB"/>
    <w:rsid w:val="7AB2D1B7"/>
    <w:rsid w:val="7AFD18F4"/>
    <w:rsid w:val="7B171BFC"/>
    <w:rsid w:val="7B3FF126"/>
    <w:rsid w:val="7B537B3F"/>
    <w:rsid w:val="7B5F8123"/>
    <w:rsid w:val="7B7B51BC"/>
    <w:rsid w:val="7B7FE604"/>
    <w:rsid w:val="7BD5E37A"/>
    <w:rsid w:val="7BD70D98"/>
    <w:rsid w:val="7BDCEC33"/>
    <w:rsid w:val="7BF7E5AA"/>
    <w:rsid w:val="7BFFE6F9"/>
    <w:rsid w:val="7C23124E"/>
    <w:rsid w:val="7C4566C3"/>
    <w:rsid w:val="7C9E79CF"/>
    <w:rsid w:val="7CF92F3F"/>
    <w:rsid w:val="7D74A9A0"/>
    <w:rsid w:val="7D777F6B"/>
    <w:rsid w:val="7DBE28CC"/>
    <w:rsid w:val="7DD3A2B0"/>
    <w:rsid w:val="7DDD4882"/>
    <w:rsid w:val="7DE78548"/>
    <w:rsid w:val="7DFD67F6"/>
    <w:rsid w:val="7DFF2C4C"/>
    <w:rsid w:val="7E37F60F"/>
    <w:rsid w:val="7E57C3D2"/>
    <w:rsid w:val="7E667ECA"/>
    <w:rsid w:val="7E6F9FF0"/>
    <w:rsid w:val="7E7EB8D7"/>
    <w:rsid w:val="7E7FF10C"/>
    <w:rsid w:val="7EB6BBEF"/>
    <w:rsid w:val="7EBB7A99"/>
    <w:rsid w:val="7EBDC1CC"/>
    <w:rsid w:val="7ED3EC0C"/>
    <w:rsid w:val="7EEE4EFE"/>
    <w:rsid w:val="7EF07089"/>
    <w:rsid w:val="7EF94D75"/>
    <w:rsid w:val="7F1F2CA6"/>
    <w:rsid w:val="7F5F5E3D"/>
    <w:rsid w:val="7F6D8D20"/>
    <w:rsid w:val="7F6E23D0"/>
    <w:rsid w:val="7F79B006"/>
    <w:rsid w:val="7F7C56C7"/>
    <w:rsid w:val="7F7F2DE9"/>
    <w:rsid w:val="7F8205CA"/>
    <w:rsid w:val="7F8F7DD5"/>
    <w:rsid w:val="7FA01A55"/>
    <w:rsid w:val="7FBBA900"/>
    <w:rsid w:val="7FBC29AA"/>
    <w:rsid w:val="7FC41805"/>
    <w:rsid w:val="7FD32429"/>
    <w:rsid w:val="7FD9176F"/>
    <w:rsid w:val="7FDAD087"/>
    <w:rsid w:val="7FDBC6BC"/>
    <w:rsid w:val="7FDE7852"/>
    <w:rsid w:val="7FDF8136"/>
    <w:rsid w:val="7FEFD6D8"/>
    <w:rsid w:val="7FF13182"/>
    <w:rsid w:val="7FF3BD94"/>
    <w:rsid w:val="7FF73E5C"/>
    <w:rsid w:val="7FFAC584"/>
    <w:rsid w:val="7FFBDB63"/>
    <w:rsid w:val="7FFC46AA"/>
    <w:rsid w:val="7FFE6655"/>
    <w:rsid w:val="7FFF10CE"/>
    <w:rsid w:val="8BBEBDE7"/>
    <w:rsid w:val="8BDD7E7E"/>
    <w:rsid w:val="8F1FB873"/>
    <w:rsid w:val="96D1347B"/>
    <w:rsid w:val="97665D07"/>
    <w:rsid w:val="97FCA347"/>
    <w:rsid w:val="97FF5C0A"/>
    <w:rsid w:val="98B3FFBC"/>
    <w:rsid w:val="99EF65AA"/>
    <w:rsid w:val="9BEE92CC"/>
    <w:rsid w:val="9CBACABA"/>
    <w:rsid w:val="9DF3BA20"/>
    <w:rsid w:val="9EF9FD77"/>
    <w:rsid w:val="9EFA5B3B"/>
    <w:rsid w:val="9F45975E"/>
    <w:rsid w:val="9F5562B6"/>
    <w:rsid w:val="A4F757A3"/>
    <w:rsid w:val="A5F9AB52"/>
    <w:rsid w:val="A973A298"/>
    <w:rsid w:val="A9F1565F"/>
    <w:rsid w:val="AA5FED32"/>
    <w:rsid w:val="ABBFC96F"/>
    <w:rsid w:val="AD7F8300"/>
    <w:rsid w:val="ADCE344C"/>
    <w:rsid w:val="AEFA7C54"/>
    <w:rsid w:val="AF7F1F8A"/>
    <w:rsid w:val="AFF5D9CB"/>
    <w:rsid w:val="AFFA1909"/>
    <w:rsid w:val="B1F2F6BC"/>
    <w:rsid w:val="B4BD7058"/>
    <w:rsid w:val="B4FFE073"/>
    <w:rsid w:val="B6DE72AC"/>
    <w:rsid w:val="B77F4DDB"/>
    <w:rsid w:val="B7D2F4A1"/>
    <w:rsid w:val="B9F82AD7"/>
    <w:rsid w:val="BAB81C40"/>
    <w:rsid w:val="BBFE5E19"/>
    <w:rsid w:val="BC3F08B9"/>
    <w:rsid w:val="BD730025"/>
    <w:rsid w:val="BDB73CD8"/>
    <w:rsid w:val="BDBF6B32"/>
    <w:rsid w:val="BDDBD02B"/>
    <w:rsid w:val="BDF7DA82"/>
    <w:rsid w:val="BEEEFCA8"/>
    <w:rsid w:val="BEF97B40"/>
    <w:rsid w:val="BEFBEF39"/>
    <w:rsid w:val="BF7CAB33"/>
    <w:rsid w:val="BFB064EB"/>
    <w:rsid w:val="BFBB8B0B"/>
    <w:rsid w:val="BFDD9819"/>
    <w:rsid w:val="BFDE48B9"/>
    <w:rsid w:val="BFEF259E"/>
    <w:rsid w:val="BFF787AD"/>
    <w:rsid w:val="BFF7CB7A"/>
    <w:rsid w:val="C3FF8E74"/>
    <w:rsid w:val="C7DFC6F8"/>
    <w:rsid w:val="C8DF3D0A"/>
    <w:rsid w:val="C975D1B1"/>
    <w:rsid w:val="CBF64DF0"/>
    <w:rsid w:val="CCFDD371"/>
    <w:rsid w:val="CDA37DF9"/>
    <w:rsid w:val="CDF5723C"/>
    <w:rsid w:val="CE48D28F"/>
    <w:rsid w:val="CFFF3520"/>
    <w:rsid w:val="CFFF4756"/>
    <w:rsid w:val="CFFFE269"/>
    <w:rsid w:val="D347858F"/>
    <w:rsid w:val="D3BFEFAF"/>
    <w:rsid w:val="D5FAE349"/>
    <w:rsid w:val="D5FE63FA"/>
    <w:rsid w:val="D6FFC9F4"/>
    <w:rsid w:val="D7BF9961"/>
    <w:rsid w:val="D7DD0E72"/>
    <w:rsid w:val="D81FC9B6"/>
    <w:rsid w:val="DA7FBD02"/>
    <w:rsid w:val="DAEDD452"/>
    <w:rsid w:val="DDA9B516"/>
    <w:rsid w:val="DDBFD4E4"/>
    <w:rsid w:val="DDD7224F"/>
    <w:rsid w:val="DDEF7737"/>
    <w:rsid w:val="DDF99D67"/>
    <w:rsid w:val="DDFB6AA5"/>
    <w:rsid w:val="DE77CB95"/>
    <w:rsid w:val="DE7D3820"/>
    <w:rsid w:val="DEBDF702"/>
    <w:rsid w:val="DEDFAACD"/>
    <w:rsid w:val="DEF13B85"/>
    <w:rsid w:val="DF2787D8"/>
    <w:rsid w:val="DF756D05"/>
    <w:rsid w:val="DF77D296"/>
    <w:rsid w:val="DF7DD4EE"/>
    <w:rsid w:val="DF7E3BFD"/>
    <w:rsid w:val="DF7E4932"/>
    <w:rsid w:val="DF7F2680"/>
    <w:rsid w:val="DFAB9189"/>
    <w:rsid w:val="DFB7472D"/>
    <w:rsid w:val="DFBD4E98"/>
    <w:rsid w:val="DFBDA1A7"/>
    <w:rsid w:val="DFCF99AF"/>
    <w:rsid w:val="DFDBE6B2"/>
    <w:rsid w:val="DFDECC87"/>
    <w:rsid w:val="DFEF6946"/>
    <w:rsid w:val="DFFB04D6"/>
    <w:rsid w:val="DFFBFB83"/>
    <w:rsid w:val="DFFDA269"/>
    <w:rsid w:val="DFFF01D3"/>
    <w:rsid w:val="E19F6088"/>
    <w:rsid w:val="E3BFCAE6"/>
    <w:rsid w:val="E4DD0335"/>
    <w:rsid w:val="E5F5ECF1"/>
    <w:rsid w:val="E7AB02E8"/>
    <w:rsid w:val="E7FFF881"/>
    <w:rsid w:val="E9BB697C"/>
    <w:rsid w:val="EBBF93ED"/>
    <w:rsid w:val="EBD79BBD"/>
    <w:rsid w:val="ED6FCBD3"/>
    <w:rsid w:val="ED8FFF63"/>
    <w:rsid w:val="EDAE9341"/>
    <w:rsid w:val="EE4E2DC9"/>
    <w:rsid w:val="EE7ADDAA"/>
    <w:rsid w:val="EE932A79"/>
    <w:rsid w:val="EED71C44"/>
    <w:rsid w:val="EED7F08D"/>
    <w:rsid w:val="EEFB2970"/>
    <w:rsid w:val="EF7F398D"/>
    <w:rsid w:val="EF99BD92"/>
    <w:rsid w:val="EFDC5706"/>
    <w:rsid w:val="EFDC9BE8"/>
    <w:rsid w:val="EFE620E2"/>
    <w:rsid w:val="EFEF83E7"/>
    <w:rsid w:val="EFF3DFAC"/>
    <w:rsid w:val="EFFB0996"/>
    <w:rsid w:val="EFFB9E96"/>
    <w:rsid w:val="EFFD5A5A"/>
    <w:rsid w:val="EFFD7EE8"/>
    <w:rsid w:val="F3EEA580"/>
    <w:rsid w:val="F3F76C48"/>
    <w:rsid w:val="F3FB6542"/>
    <w:rsid w:val="F3FEAE2C"/>
    <w:rsid w:val="F3FFD3C0"/>
    <w:rsid w:val="F4B921E3"/>
    <w:rsid w:val="F5BB3F2A"/>
    <w:rsid w:val="F67F70B6"/>
    <w:rsid w:val="F77DFDCA"/>
    <w:rsid w:val="F7B36E07"/>
    <w:rsid w:val="F7BBB78E"/>
    <w:rsid w:val="F7DD7606"/>
    <w:rsid w:val="F7DF7B82"/>
    <w:rsid w:val="F7E72245"/>
    <w:rsid w:val="F7EED5EC"/>
    <w:rsid w:val="F7EF1D8F"/>
    <w:rsid w:val="F7EFAEBC"/>
    <w:rsid w:val="F7F5FD1A"/>
    <w:rsid w:val="F7F8C575"/>
    <w:rsid w:val="F7FBC844"/>
    <w:rsid w:val="F7FC36A1"/>
    <w:rsid w:val="F7FCC809"/>
    <w:rsid w:val="F7FF5EF4"/>
    <w:rsid w:val="F89F6CCB"/>
    <w:rsid w:val="F8E554EA"/>
    <w:rsid w:val="F9DF6164"/>
    <w:rsid w:val="F9E59369"/>
    <w:rsid w:val="F9EB0A7C"/>
    <w:rsid w:val="F9EF7F5E"/>
    <w:rsid w:val="FAF479CD"/>
    <w:rsid w:val="FB3DE959"/>
    <w:rsid w:val="FB4FE589"/>
    <w:rsid w:val="FB6EAE56"/>
    <w:rsid w:val="FB999A1C"/>
    <w:rsid w:val="FB9B5CC2"/>
    <w:rsid w:val="FBAF18E3"/>
    <w:rsid w:val="FBBB9F36"/>
    <w:rsid w:val="FBBF7BA5"/>
    <w:rsid w:val="FBBFD6FE"/>
    <w:rsid w:val="FBD731FF"/>
    <w:rsid w:val="FBDFE755"/>
    <w:rsid w:val="FBEF39E0"/>
    <w:rsid w:val="FBFB47EF"/>
    <w:rsid w:val="FBFFA35F"/>
    <w:rsid w:val="FD3D066F"/>
    <w:rsid w:val="FD55A6E6"/>
    <w:rsid w:val="FD77ADE0"/>
    <w:rsid w:val="FD7EFC9A"/>
    <w:rsid w:val="FDEED111"/>
    <w:rsid w:val="FDFB0A4B"/>
    <w:rsid w:val="FDFF80A7"/>
    <w:rsid w:val="FE2EC9D9"/>
    <w:rsid w:val="FE7A7805"/>
    <w:rsid w:val="FE7F4C3C"/>
    <w:rsid w:val="FE7FC515"/>
    <w:rsid w:val="FEBD062E"/>
    <w:rsid w:val="FEBF9237"/>
    <w:rsid w:val="FEE5B5D5"/>
    <w:rsid w:val="FEE77550"/>
    <w:rsid w:val="FEE9B08F"/>
    <w:rsid w:val="FEEB4BD6"/>
    <w:rsid w:val="FEF23D98"/>
    <w:rsid w:val="FEF3BA19"/>
    <w:rsid w:val="FEF64D16"/>
    <w:rsid w:val="FEFB7A37"/>
    <w:rsid w:val="FEFE4DB1"/>
    <w:rsid w:val="FEFF1605"/>
    <w:rsid w:val="FEFFD914"/>
    <w:rsid w:val="FF35B848"/>
    <w:rsid w:val="FF3F3203"/>
    <w:rsid w:val="FF535DD3"/>
    <w:rsid w:val="FF570055"/>
    <w:rsid w:val="FF754378"/>
    <w:rsid w:val="FF7F35CF"/>
    <w:rsid w:val="FF7FD19E"/>
    <w:rsid w:val="FF8BE7DA"/>
    <w:rsid w:val="FFA1AE8A"/>
    <w:rsid w:val="FFA5112C"/>
    <w:rsid w:val="FFA75031"/>
    <w:rsid w:val="FFB5B477"/>
    <w:rsid w:val="FFB5C504"/>
    <w:rsid w:val="FFBD64F4"/>
    <w:rsid w:val="FFBF7591"/>
    <w:rsid w:val="FFD5CFD6"/>
    <w:rsid w:val="FFD70CCE"/>
    <w:rsid w:val="FFD77DED"/>
    <w:rsid w:val="FFDD465D"/>
    <w:rsid w:val="FFDDE1BB"/>
    <w:rsid w:val="FFDF6C13"/>
    <w:rsid w:val="FFEB3708"/>
    <w:rsid w:val="FFF331EC"/>
    <w:rsid w:val="FFF5E325"/>
    <w:rsid w:val="FFF8470D"/>
    <w:rsid w:val="FFF95223"/>
    <w:rsid w:val="FFFB3056"/>
    <w:rsid w:val="FFFDA3DB"/>
    <w:rsid w:val="FFFF51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36"/>
    <w:qFormat/>
    <w:uiPriority w:val="9"/>
    <w:pPr>
      <w:keepNext/>
      <w:keepLines/>
      <w:widowControl w:val="0"/>
      <w:spacing w:before="340" w:after="330" w:line="578" w:lineRule="auto"/>
      <w:jc w:val="both"/>
      <w:outlineLvl w:val="0"/>
    </w:pPr>
    <w:rPr>
      <w:rFonts w:asciiTheme="minorHAnsi" w:hAnsiTheme="minorHAnsi" w:eastAsiaTheme="minorEastAsia" w:cstheme="minorBidi"/>
      <w:b/>
      <w:bCs/>
      <w:kern w:val="44"/>
      <w:sz w:val="44"/>
      <w:szCs w:val="44"/>
    </w:rPr>
  </w:style>
  <w:style w:type="paragraph" w:styleId="3">
    <w:name w:val="heading 2"/>
    <w:basedOn w:val="1"/>
    <w:next w:val="1"/>
    <w:link w:val="58"/>
    <w:unhideWhenUsed/>
    <w:qFormat/>
    <w:uiPriority w:val="0"/>
    <w:pPr>
      <w:keepNext/>
      <w:keepLines/>
      <w:widowControl w:val="0"/>
      <w:spacing w:before="260" w:after="260" w:line="416" w:lineRule="auto"/>
      <w:jc w:val="both"/>
      <w:outlineLvl w:val="1"/>
    </w:pPr>
    <w:rPr>
      <w:rFonts w:asciiTheme="majorHAnsi" w:hAnsiTheme="majorHAnsi" w:eastAsiaTheme="majorEastAsia" w:cstheme="majorBidi"/>
      <w:b/>
      <w:bCs/>
      <w:kern w:val="2"/>
      <w:sz w:val="32"/>
      <w:szCs w:val="32"/>
    </w:rPr>
  </w:style>
  <w:style w:type="paragraph" w:styleId="4">
    <w:name w:val="heading 3"/>
    <w:basedOn w:val="1"/>
    <w:next w:val="1"/>
    <w:link w:val="67"/>
    <w:unhideWhenUsed/>
    <w:qFormat/>
    <w:uiPriority w:val="0"/>
    <w:pPr>
      <w:keepNext/>
      <w:keepLines/>
      <w:widowControl w:val="0"/>
      <w:spacing w:before="260" w:after="260" w:line="416" w:lineRule="auto"/>
      <w:jc w:val="both"/>
      <w:outlineLvl w:val="2"/>
    </w:pPr>
    <w:rPr>
      <w:rFonts w:asciiTheme="minorHAnsi" w:hAnsiTheme="minorHAnsi" w:eastAsiaTheme="minorEastAsia" w:cstheme="minorBidi"/>
      <w:b/>
      <w:bCs/>
      <w:kern w:val="2"/>
      <w:sz w:val="30"/>
      <w:szCs w:val="32"/>
    </w:rPr>
  </w:style>
  <w:style w:type="paragraph" w:styleId="5">
    <w:name w:val="heading 4"/>
    <w:basedOn w:val="1"/>
    <w:next w:val="1"/>
    <w:link w:val="73"/>
    <w:unhideWhenUsed/>
    <w:qFormat/>
    <w:uiPriority w:val="0"/>
    <w:pPr>
      <w:keepNext/>
      <w:keepLines/>
      <w:widowControl w:val="0"/>
      <w:spacing w:before="280" w:after="290" w:line="376" w:lineRule="auto"/>
      <w:jc w:val="both"/>
      <w:outlineLvl w:val="3"/>
    </w:pPr>
    <w:rPr>
      <w:rFonts w:asciiTheme="majorHAnsi" w:hAnsiTheme="majorHAnsi" w:eastAsiaTheme="majorEastAsia" w:cstheme="majorBidi"/>
      <w:b/>
      <w:bCs/>
      <w:kern w:val="2"/>
      <w:sz w:val="28"/>
      <w:szCs w:val="28"/>
    </w:rPr>
  </w:style>
  <w:style w:type="paragraph" w:styleId="6">
    <w:name w:val="heading 5"/>
    <w:basedOn w:val="1"/>
    <w:next w:val="1"/>
    <w:link w:val="69"/>
    <w:unhideWhenUsed/>
    <w:qFormat/>
    <w:uiPriority w:val="0"/>
    <w:pPr>
      <w:keepNext/>
      <w:keepLines/>
      <w:widowControl w:val="0"/>
      <w:spacing w:before="280" w:after="290" w:line="376" w:lineRule="auto"/>
      <w:jc w:val="both"/>
      <w:outlineLvl w:val="4"/>
    </w:pPr>
    <w:rPr>
      <w:rFonts w:asciiTheme="minorHAnsi" w:hAnsiTheme="minorHAnsi" w:eastAsiaTheme="minorEastAsia" w:cstheme="minorBidi"/>
      <w:b/>
      <w:bCs/>
      <w:kern w:val="2"/>
      <w:sz w:val="28"/>
      <w:szCs w:val="28"/>
    </w:rPr>
  </w:style>
  <w:style w:type="paragraph" w:styleId="7">
    <w:name w:val="heading 6"/>
    <w:basedOn w:val="1"/>
    <w:next w:val="1"/>
    <w:link w:val="53"/>
    <w:unhideWhenUsed/>
    <w:qFormat/>
    <w:uiPriority w:val="0"/>
    <w:pPr>
      <w:keepNext/>
      <w:keepLines/>
      <w:widowControl w:val="0"/>
      <w:spacing w:before="240" w:after="64" w:line="320" w:lineRule="auto"/>
      <w:jc w:val="both"/>
      <w:outlineLvl w:val="5"/>
    </w:pPr>
    <w:rPr>
      <w:rFonts w:asciiTheme="majorHAnsi" w:hAnsiTheme="majorHAnsi" w:eastAsiaTheme="majorEastAsia" w:cstheme="majorBidi"/>
      <w:b/>
      <w:bCs/>
      <w:kern w:val="2"/>
    </w:rPr>
  </w:style>
  <w:style w:type="paragraph" w:styleId="8">
    <w:name w:val="heading 7"/>
    <w:basedOn w:val="1"/>
    <w:next w:val="1"/>
    <w:link w:val="71"/>
    <w:unhideWhenUsed/>
    <w:qFormat/>
    <w:uiPriority w:val="0"/>
    <w:pPr>
      <w:keepNext/>
      <w:keepLines/>
      <w:widowControl w:val="0"/>
      <w:spacing w:before="240" w:after="64" w:line="320" w:lineRule="auto"/>
      <w:jc w:val="both"/>
      <w:outlineLvl w:val="6"/>
    </w:pPr>
    <w:rPr>
      <w:rFonts w:asciiTheme="minorHAnsi" w:hAnsiTheme="minorHAnsi" w:eastAsiaTheme="minorEastAsia" w:cstheme="minorBidi"/>
      <w:b/>
      <w:bCs/>
      <w:kern w:val="2"/>
    </w:rPr>
  </w:style>
  <w:style w:type="paragraph" w:styleId="9">
    <w:name w:val="heading 8"/>
    <w:basedOn w:val="1"/>
    <w:next w:val="1"/>
    <w:link w:val="41"/>
    <w:qFormat/>
    <w:uiPriority w:val="0"/>
    <w:pPr>
      <w:keepNext/>
      <w:keepLines/>
      <w:widowControl w:val="0"/>
      <w:spacing w:before="240" w:after="64" w:line="320" w:lineRule="auto"/>
      <w:ind w:left="824" w:hanging="1440"/>
      <w:jc w:val="both"/>
      <w:outlineLvl w:val="7"/>
    </w:pPr>
    <w:rPr>
      <w:rFonts w:ascii="Arial" w:hAnsi="Arial" w:eastAsia="黑体" w:cs="Times New Roman"/>
      <w:kern w:val="2"/>
    </w:rPr>
  </w:style>
  <w:style w:type="paragraph" w:styleId="10">
    <w:name w:val="heading 9"/>
    <w:basedOn w:val="1"/>
    <w:next w:val="1"/>
    <w:link w:val="78"/>
    <w:qFormat/>
    <w:uiPriority w:val="0"/>
    <w:pPr>
      <w:keepNext/>
      <w:keepLines/>
      <w:widowControl w:val="0"/>
      <w:spacing w:before="240" w:after="64" w:line="320" w:lineRule="auto"/>
      <w:ind w:left="968" w:hanging="1584"/>
      <w:jc w:val="both"/>
      <w:outlineLvl w:val="8"/>
    </w:pPr>
    <w:rPr>
      <w:rFonts w:ascii="Arial" w:hAnsi="Arial" w:eastAsia="黑体" w:cs="Times New Roman"/>
      <w:kern w:val="2"/>
      <w:sz w:val="21"/>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44"/>
    <w:qFormat/>
    <w:uiPriority w:val="99"/>
    <w:pPr>
      <w:widowControl w:val="0"/>
      <w:ind w:firstLine="420"/>
      <w:jc w:val="both"/>
    </w:pPr>
    <w:rPr>
      <w:rFonts w:ascii="Times New Roman" w:hAnsi="Times New Roman" w:eastAsia="仿宋_GB2312" w:cs="Times New Roman"/>
      <w:kern w:val="2"/>
      <w:szCs w:val="20"/>
    </w:rPr>
  </w:style>
  <w:style w:type="paragraph" w:styleId="12">
    <w:name w:val="Document Map"/>
    <w:basedOn w:val="1"/>
    <w:link w:val="48"/>
    <w:unhideWhenUsed/>
    <w:qFormat/>
    <w:uiPriority w:val="99"/>
    <w:pPr>
      <w:widowControl w:val="0"/>
      <w:jc w:val="both"/>
    </w:pPr>
    <w:rPr>
      <w:rFonts w:hAnsiTheme="minorHAnsi" w:cstheme="minorBidi"/>
      <w:kern w:val="2"/>
    </w:rPr>
  </w:style>
  <w:style w:type="paragraph" w:styleId="13">
    <w:name w:val="annotation text"/>
    <w:basedOn w:val="1"/>
    <w:link w:val="47"/>
    <w:unhideWhenUsed/>
    <w:qFormat/>
    <w:uiPriority w:val="99"/>
    <w:pPr>
      <w:widowControl w:val="0"/>
    </w:pPr>
    <w:rPr>
      <w:rFonts w:asciiTheme="minorHAnsi" w:hAnsiTheme="minorHAnsi" w:eastAsiaTheme="minorEastAsia" w:cstheme="minorBidi"/>
      <w:kern w:val="2"/>
      <w:sz w:val="21"/>
      <w:szCs w:val="22"/>
    </w:rPr>
  </w:style>
  <w:style w:type="paragraph" w:styleId="14">
    <w:name w:val="Body Text"/>
    <w:basedOn w:val="1"/>
    <w:next w:val="1"/>
    <w:link w:val="55"/>
    <w:unhideWhenUsed/>
    <w:qFormat/>
    <w:uiPriority w:val="99"/>
    <w:pPr>
      <w:widowControl w:val="0"/>
      <w:spacing w:after="120"/>
      <w:jc w:val="both"/>
    </w:pPr>
    <w:rPr>
      <w:rFonts w:asciiTheme="minorHAnsi" w:hAnsiTheme="minorHAnsi" w:eastAsiaTheme="minorEastAsia" w:cstheme="minorBidi"/>
      <w:kern w:val="2"/>
      <w:sz w:val="21"/>
      <w:szCs w:val="22"/>
    </w:rPr>
  </w:style>
  <w:style w:type="paragraph" w:styleId="15">
    <w:name w:val="Body Text Indent"/>
    <w:basedOn w:val="1"/>
    <w:link w:val="35"/>
    <w:unhideWhenUsed/>
    <w:qFormat/>
    <w:uiPriority w:val="99"/>
    <w:pPr>
      <w:widowControl w:val="0"/>
      <w:spacing w:after="120"/>
      <w:ind w:left="420" w:leftChars="200"/>
      <w:jc w:val="both"/>
    </w:pPr>
    <w:rPr>
      <w:rFonts w:asciiTheme="minorHAnsi" w:hAnsiTheme="minorHAnsi" w:eastAsiaTheme="minorEastAsia" w:cstheme="minorBidi"/>
      <w:kern w:val="2"/>
      <w:sz w:val="21"/>
      <w:szCs w:val="22"/>
    </w:rPr>
  </w:style>
  <w:style w:type="paragraph" w:styleId="16">
    <w:name w:val="toc 3"/>
    <w:basedOn w:val="1"/>
    <w:next w:val="1"/>
    <w:unhideWhenUsed/>
    <w:qFormat/>
    <w:uiPriority w:val="39"/>
    <w:pPr>
      <w:spacing w:after="100" w:line="259" w:lineRule="auto"/>
      <w:ind w:left="440"/>
    </w:pPr>
    <w:rPr>
      <w:rFonts w:cs="Times New Roman" w:asciiTheme="minorHAnsi" w:hAnsiTheme="minorHAnsi" w:eastAsiaTheme="minorEastAsia"/>
      <w:sz w:val="22"/>
      <w:szCs w:val="22"/>
    </w:rPr>
  </w:style>
  <w:style w:type="paragraph" w:styleId="17">
    <w:name w:val="Balloon Text"/>
    <w:basedOn w:val="1"/>
    <w:link w:val="40"/>
    <w:unhideWhenUsed/>
    <w:qFormat/>
    <w:uiPriority w:val="99"/>
    <w:pPr>
      <w:widowControl w:val="0"/>
      <w:jc w:val="both"/>
    </w:pPr>
    <w:rPr>
      <w:rFonts w:asciiTheme="minorHAnsi" w:hAnsiTheme="minorHAnsi" w:eastAsiaTheme="minorEastAsia" w:cstheme="minorBidi"/>
      <w:kern w:val="2"/>
      <w:sz w:val="18"/>
      <w:szCs w:val="18"/>
    </w:rPr>
  </w:style>
  <w:style w:type="paragraph" w:styleId="18">
    <w:name w:val="footer"/>
    <w:basedOn w:val="1"/>
    <w:link w:val="75"/>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rPr>
  </w:style>
  <w:style w:type="paragraph" w:styleId="19">
    <w:name w:val="header"/>
    <w:basedOn w:val="1"/>
    <w:link w:val="32"/>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paragraph" w:styleId="20">
    <w:name w:val="toc 1"/>
    <w:basedOn w:val="1"/>
    <w:next w:val="1"/>
    <w:unhideWhenUsed/>
    <w:qFormat/>
    <w:uiPriority w:val="39"/>
    <w:pPr>
      <w:spacing w:after="100" w:line="259" w:lineRule="auto"/>
    </w:pPr>
    <w:rPr>
      <w:rFonts w:cs="Times New Roman" w:asciiTheme="minorHAnsi" w:hAnsiTheme="minorHAnsi" w:eastAsiaTheme="minorEastAsia"/>
      <w:sz w:val="22"/>
      <w:szCs w:val="22"/>
    </w:rPr>
  </w:style>
  <w:style w:type="paragraph" w:styleId="21">
    <w:name w:val="toc 2"/>
    <w:basedOn w:val="1"/>
    <w:next w:val="1"/>
    <w:unhideWhenUsed/>
    <w:qFormat/>
    <w:uiPriority w:val="39"/>
    <w:pPr>
      <w:spacing w:after="100" w:line="259" w:lineRule="auto"/>
      <w:ind w:left="220"/>
    </w:pPr>
    <w:rPr>
      <w:rFonts w:cs="Times New Roman" w:asciiTheme="minorHAnsi" w:hAnsiTheme="minorHAnsi" w:eastAsiaTheme="minorEastAsia"/>
      <w:sz w:val="22"/>
      <w:szCs w:val="22"/>
    </w:rPr>
  </w:style>
  <w:style w:type="paragraph" w:styleId="22">
    <w:name w:val="Normal (Web)"/>
    <w:basedOn w:val="1"/>
    <w:unhideWhenUsed/>
    <w:qFormat/>
    <w:uiPriority w:val="99"/>
    <w:pPr>
      <w:spacing w:before="100" w:beforeAutospacing="1" w:after="100" w:afterAutospacing="1" w:line="259" w:lineRule="auto"/>
    </w:pPr>
  </w:style>
  <w:style w:type="paragraph" w:styleId="23">
    <w:name w:val="annotation subject"/>
    <w:basedOn w:val="13"/>
    <w:next w:val="13"/>
    <w:link w:val="70"/>
    <w:unhideWhenUsed/>
    <w:qFormat/>
    <w:uiPriority w:val="99"/>
    <w:rPr>
      <w:b/>
      <w:bCs/>
    </w:rPr>
  </w:style>
  <w:style w:type="paragraph" w:styleId="24">
    <w:name w:val="Body Text First Indent"/>
    <w:basedOn w:val="14"/>
    <w:link w:val="54"/>
    <w:unhideWhenUsed/>
    <w:qFormat/>
    <w:uiPriority w:val="99"/>
    <w:pPr>
      <w:ind w:firstLine="420" w:firstLineChars="100"/>
    </w:pPr>
  </w:style>
  <w:style w:type="paragraph" w:styleId="25">
    <w:name w:val="Body Text First Indent 2"/>
    <w:basedOn w:val="15"/>
    <w:link w:val="49"/>
    <w:qFormat/>
    <w:uiPriority w:val="0"/>
    <w:pPr>
      <w:ind w:firstLine="420" w:firstLineChars="200"/>
    </w:pPr>
    <w:rPr>
      <w:rFonts w:ascii="Times New Roman" w:hAnsi="Times New Roman" w:eastAsia="宋体" w:cs="Times New Roman"/>
      <w:szCs w:val="24"/>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unhideWhenUsed/>
    <w:qFormat/>
    <w:uiPriority w:val="99"/>
  </w:style>
  <w:style w:type="character" w:styleId="30">
    <w:name w:val="Hyperlink"/>
    <w:basedOn w:val="28"/>
    <w:unhideWhenUsed/>
    <w:qFormat/>
    <w:uiPriority w:val="99"/>
    <w:rPr>
      <w:color w:val="0563C1" w:themeColor="hyperlink"/>
      <w:u w:val="single"/>
      <w14:textFill>
        <w14:solidFill>
          <w14:schemeClr w14:val="hlink"/>
        </w14:solidFill>
      </w14:textFill>
    </w:rPr>
  </w:style>
  <w:style w:type="character" w:styleId="31">
    <w:name w:val="annotation reference"/>
    <w:basedOn w:val="28"/>
    <w:unhideWhenUsed/>
    <w:qFormat/>
    <w:uiPriority w:val="0"/>
    <w:rPr>
      <w:sz w:val="21"/>
      <w:szCs w:val="21"/>
    </w:rPr>
  </w:style>
  <w:style w:type="character" w:customStyle="1" w:styleId="32">
    <w:name w:val="页眉 字符"/>
    <w:basedOn w:val="28"/>
    <w:link w:val="19"/>
    <w:qFormat/>
    <w:uiPriority w:val="99"/>
    <w:rPr>
      <w:sz w:val="18"/>
      <w:szCs w:val="18"/>
    </w:rPr>
  </w:style>
  <w:style w:type="character" w:customStyle="1" w:styleId="33">
    <w:name w:val="应答1 Char"/>
    <w:basedOn w:val="28"/>
    <w:link w:val="34"/>
    <w:qFormat/>
    <w:uiPriority w:val="0"/>
    <w:rPr>
      <w:rFonts w:ascii="宋体" w:hAnsi="宋体" w:eastAsia="宋体" w:cs="宋体"/>
      <w:bCs/>
      <w:color w:val="000000" w:themeColor="text1"/>
      <w:sz w:val="24"/>
      <w:szCs w:val="24"/>
      <w14:textFill>
        <w14:solidFill>
          <w14:schemeClr w14:val="tx1"/>
        </w14:solidFill>
      </w14:textFill>
    </w:rPr>
  </w:style>
  <w:style w:type="paragraph" w:customStyle="1" w:styleId="34">
    <w:name w:val="应答1"/>
    <w:basedOn w:val="1"/>
    <w:link w:val="33"/>
    <w:qFormat/>
    <w:uiPriority w:val="0"/>
    <w:pPr>
      <w:widowControl w:val="0"/>
      <w:adjustRightInd w:val="0"/>
      <w:snapToGrid w:val="0"/>
      <w:spacing w:line="360" w:lineRule="auto"/>
      <w:ind w:firstLine="566" w:firstLineChars="236"/>
      <w:jc w:val="both"/>
    </w:pPr>
    <w:rPr>
      <w:bCs/>
      <w:color w:val="000000" w:themeColor="text1"/>
      <w:kern w:val="2"/>
      <w14:textFill>
        <w14:solidFill>
          <w14:schemeClr w14:val="tx1"/>
        </w14:solidFill>
      </w14:textFill>
    </w:rPr>
  </w:style>
  <w:style w:type="character" w:customStyle="1" w:styleId="35">
    <w:name w:val="正文文本缩进 字符"/>
    <w:basedOn w:val="28"/>
    <w:link w:val="15"/>
    <w:semiHidden/>
    <w:qFormat/>
    <w:uiPriority w:val="99"/>
  </w:style>
  <w:style w:type="character" w:customStyle="1" w:styleId="36">
    <w:name w:val="标题 1 字符"/>
    <w:basedOn w:val="28"/>
    <w:link w:val="2"/>
    <w:qFormat/>
    <w:uiPriority w:val="9"/>
    <w:rPr>
      <w:b/>
      <w:bCs/>
      <w:kern w:val="44"/>
      <w:sz w:val="44"/>
      <w:szCs w:val="44"/>
    </w:rPr>
  </w:style>
  <w:style w:type="paragraph" w:customStyle="1" w:styleId="37">
    <w:name w:val="修订1"/>
    <w:hidden/>
    <w:unhideWhenUsed/>
    <w:qFormat/>
    <w:uiPriority w:val="99"/>
    <w:rPr>
      <w:rFonts w:ascii="Times New Roman" w:hAnsi="Times New Roman" w:eastAsia="宋体" w:cs="Times New Roman"/>
      <w:sz w:val="24"/>
      <w:szCs w:val="24"/>
      <w:lang w:val="en-US" w:eastAsia="zh-CN" w:bidi="ar-SA"/>
    </w:rPr>
  </w:style>
  <w:style w:type="paragraph" w:customStyle="1" w:styleId="38">
    <w:name w:val="修订7"/>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9">
    <w:name w:val="我的正文"/>
    <w:basedOn w:val="1"/>
    <w:qFormat/>
    <w:uiPriority w:val="0"/>
    <w:pPr>
      <w:widowControl w:val="0"/>
      <w:spacing w:line="360" w:lineRule="auto"/>
      <w:ind w:firstLine="454"/>
      <w:jc w:val="both"/>
    </w:pPr>
    <w:rPr>
      <w:rFonts w:asciiTheme="minorHAnsi" w:hAnsiTheme="minorHAnsi" w:eastAsiaTheme="minorEastAsia" w:cstheme="minorBidi"/>
      <w:kern w:val="2"/>
      <w:szCs w:val="20"/>
    </w:rPr>
  </w:style>
  <w:style w:type="character" w:customStyle="1" w:styleId="40">
    <w:name w:val="批注框文本 字符"/>
    <w:basedOn w:val="28"/>
    <w:link w:val="17"/>
    <w:semiHidden/>
    <w:qFormat/>
    <w:uiPriority w:val="99"/>
    <w:rPr>
      <w:sz w:val="18"/>
      <w:szCs w:val="18"/>
    </w:rPr>
  </w:style>
  <w:style w:type="character" w:customStyle="1" w:styleId="41">
    <w:name w:val="标题 8 字符"/>
    <w:basedOn w:val="28"/>
    <w:link w:val="9"/>
    <w:qFormat/>
    <w:uiPriority w:val="0"/>
    <w:rPr>
      <w:rFonts w:ascii="Arial" w:hAnsi="Arial" w:eastAsia="黑体" w:cs="Times New Roman"/>
      <w:sz w:val="24"/>
      <w:szCs w:val="24"/>
    </w:rPr>
  </w:style>
  <w:style w:type="paragraph" w:customStyle="1" w:styleId="42">
    <w:name w:val="p1"/>
    <w:basedOn w:val="1"/>
    <w:qFormat/>
    <w:uiPriority w:val="0"/>
    <w:pPr>
      <w:widowControl w:val="0"/>
    </w:pPr>
    <w:rPr>
      <w:rFonts w:ascii="Helvetica Neue" w:hAnsi="Helvetica Neue" w:eastAsia="Helvetica Neue" w:cs="Times New Roman"/>
      <w:sz w:val="26"/>
      <w:szCs w:val="26"/>
    </w:rPr>
  </w:style>
  <w:style w:type="paragraph" w:customStyle="1" w:styleId="43">
    <w:name w:val="文档正文"/>
    <w:basedOn w:val="1"/>
    <w:link w:val="76"/>
    <w:qFormat/>
    <w:uiPriority w:val="0"/>
    <w:pPr>
      <w:widowControl w:val="0"/>
      <w:adjustRightInd w:val="0"/>
      <w:spacing w:before="60" w:after="60" w:line="480" w:lineRule="atLeast"/>
      <w:ind w:firstLine="567" w:firstLineChars="200"/>
      <w:jc w:val="both"/>
      <w:textAlignment w:val="baseline"/>
    </w:pPr>
    <w:rPr>
      <w:rFonts w:ascii="长城仿宋" w:hAnsi="Arial" w:cs="Times New Roman"/>
      <w:szCs w:val="20"/>
    </w:rPr>
  </w:style>
  <w:style w:type="character" w:customStyle="1" w:styleId="44">
    <w:name w:val="正文缩进 字符"/>
    <w:basedOn w:val="28"/>
    <w:link w:val="11"/>
    <w:qFormat/>
    <w:uiPriority w:val="99"/>
    <w:rPr>
      <w:rFonts w:ascii="Times New Roman" w:hAnsi="Times New Roman" w:eastAsia="仿宋_GB2312" w:cs="Times New Roman"/>
      <w:sz w:val="24"/>
      <w:szCs w:val="20"/>
    </w:rPr>
  </w:style>
  <w:style w:type="paragraph" w:customStyle="1" w:styleId="45">
    <w:name w:val="修订9"/>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6">
    <w:name w:val="段"/>
    <w:qFormat/>
    <w:uiPriority w:val="0"/>
    <w:pPr>
      <w:autoSpaceDE w:val="0"/>
      <w:autoSpaceDN w:val="0"/>
      <w:ind w:firstLine="200"/>
      <w:jc w:val="both"/>
    </w:pPr>
    <w:rPr>
      <w:rFonts w:ascii="宋体" w:hAnsi="Times New Roman" w:eastAsia="宋体" w:cs="Times New Roman"/>
      <w:sz w:val="21"/>
      <w:lang w:val="en-US" w:eastAsia="en-US" w:bidi="ar-SA"/>
    </w:rPr>
  </w:style>
  <w:style w:type="character" w:customStyle="1" w:styleId="47">
    <w:name w:val="批注文字 字符"/>
    <w:basedOn w:val="28"/>
    <w:link w:val="13"/>
    <w:semiHidden/>
    <w:qFormat/>
    <w:uiPriority w:val="99"/>
  </w:style>
  <w:style w:type="character" w:customStyle="1" w:styleId="48">
    <w:name w:val="文档结构图 字符"/>
    <w:basedOn w:val="28"/>
    <w:link w:val="12"/>
    <w:semiHidden/>
    <w:qFormat/>
    <w:uiPriority w:val="99"/>
    <w:rPr>
      <w:rFonts w:ascii="宋体" w:eastAsia="宋体"/>
      <w:sz w:val="24"/>
      <w:szCs w:val="24"/>
    </w:rPr>
  </w:style>
  <w:style w:type="character" w:customStyle="1" w:styleId="49">
    <w:name w:val="正文文本首行缩进 2 字符"/>
    <w:basedOn w:val="35"/>
    <w:link w:val="25"/>
    <w:qFormat/>
    <w:uiPriority w:val="0"/>
    <w:rPr>
      <w:rFonts w:ascii="Times New Roman" w:hAnsi="Times New Roman" w:eastAsia="宋体" w:cs="Times New Roman"/>
      <w:szCs w:val="24"/>
    </w:rPr>
  </w:style>
  <w:style w:type="paragraph" w:customStyle="1" w:styleId="50">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51">
    <w:name w:val="列表段落 字符"/>
    <w:link w:val="52"/>
    <w:qFormat/>
    <w:locked/>
    <w:uiPriority w:val="34"/>
  </w:style>
  <w:style w:type="paragraph" w:customStyle="1" w:styleId="52">
    <w:name w:val="列表段落1"/>
    <w:basedOn w:val="1"/>
    <w:link w:val="51"/>
    <w:qFormat/>
    <w:uiPriority w:val="34"/>
    <w:pPr>
      <w:widowControl w:val="0"/>
      <w:ind w:firstLine="420" w:firstLineChars="200"/>
      <w:jc w:val="both"/>
    </w:pPr>
    <w:rPr>
      <w:rFonts w:asciiTheme="minorHAnsi" w:hAnsiTheme="minorHAnsi" w:eastAsiaTheme="minorEastAsia" w:cstheme="minorBidi"/>
      <w:kern w:val="2"/>
      <w:sz w:val="21"/>
      <w:szCs w:val="22"/>
    </w:rPr>
  </w:style>
  <w:style w:type="character" w:customStyle="1" w:styleId="53">
    <w:name w:val="标题 6 字符"/>
    <w:basedOn w:val="28"/>
    <w:link w:val="7"/>
    <w:qFormat/>
    <w:uiPriority w:val="9"/>
    <w:rPr>
      <w:rFonts w:asciiTheme="majorHAnsi" w:hAnsiTheme="majorHAnsi" w:eastAsiaTheme="majorEastAsia" w:cstheme="majorBidi"/>
      <w:b/>
      <w:bCs/>
      <w:sz w:val="24"/>
      <w:szCs w:val="24"/>
    </w:rPr>
  </w:style>
  <w:style w:type="character" w:customStyle="1" w:styleId="54">
    <w:name w:val="正文文本首行缩进 字符"/>
    <w:basedOn w:val="55"/>
    <w:link w:val="24"/>
    <w:semiHidden/>
    <w:qFormat/>
    <w:uiPriority w:val="99"/>
  </w:style>
  <w:style w:type="character" w:customStyle="1" w:styleId="55">
    <w:name w:val="正文文本 字符"/>
    <w:basedOn w:val="28"/>
    <w:link w:val="14"/>
    <w:semiHidden/>
    <w:qFormat/>
    <w:uiPriority w:val="99"/>
  </w:style>
  <w:style w:type="character" w:customStyle="1" w:styleId="56">
    <w:name w:val="QB正文 Char Char"/>
    <w:link w:val="57"/>
    <w:qFormat/>
    <w:uiPriority w:val="0"/>
    <w:rPr>
      <w:rFonts w:ascii="宋体"/>
    </w:rPr>
  </w:style>
  <w:style w:type="paragraph" w:customStyle="1" w:styleId="57">
    <w:name w:val="QB正文"/>
    <w:basedOn w:val="1"/>
    <w:link w:val="56"/>
    <w:qFormat/>
    <w:uiPriority w:val="0"/>
    <w:pPr>
      <w:autoSpaceDE w:val="0"/>
      <w:autoSpaceDN w:val="0"/>
      <w:spacing w:line="360" w:lineRule="auto"/>
      <w:ind w:firstLine="200" w:firstLineChars="200"/>
      <w:jc w:val="both"/>
    </w:pPr>
    <w:rPr>
      <w:rFonts w:hAnsiTheme="minorHAnsi" w:eastAsiaTheme="minorEastAsia" w:cstheme="minorBidi"/>
      <w:kern w:val="2"/>
      <w:sz w:val="21"/>
      <w:szCs w:val="22"/>
    </w:rPr>
  </w:style>
  <w:style w:type="character" w:customStyle="1" w:styleId="58">
    <w:name w:val="标题 2 字符"/>
    <w:basedOn w:val="28"/>
    <w:link w:val="3"/>
    <w:qFormat/>
    <w:uiPriority w:val="9"/>
    <w:rPr>
      <w:rFonts w:asciiTheme="majorHAnsi" w:hAnsiTheme="majorHAnsi" w:eastAsiaTheme="majorEastAsia" w:cstheme="majorBidi"/>
      <w:b/>
      <w:bCs/>
      <w:sz w:val="32"/>
      <w:szCs w:val="32"/>
    </w:rPr>
  </w:style>
  <w:style w:type="paragraph" w:customStyle="1" w:styleId="5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0">
    <w:name w:val="修订111"/>
    <w:hidden/>
    <w:unhideWhenUsed/>
    <w:qFormat/>
    <w:uiPriority w:val="99"/>
    <w:rPr>
      <w:rFonts w:ascii="Times New Roman" w:hAnsi="Times New Roman" w:eastAsia="宋体" w:cs="Times New Roman"/>
      <w:sz w:val="24"/>
      <w:szCs w:val="24"/>
      <w:lang w:val="en-US" w:eastAsia="zh-CN" w:bidi="ar-SA"/>
    </w:rPr>
  </w:style>
  <w:style w:type="paragraph" w:customStyle="1" w:styleId="61">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62">
    <w:name w:val="QB前言正文"/>
    <w:basedOn w:val="1"/>
    <w:qFormat/>
    <w:uiPriority w:val="0"/>
    <w:pPr>
      <w:autoSpaceDE w:val="0"/>
      <w:autoSpaceDN w:val="0"/>
      <w:adjustRightInd w:val="0"/>
      <w:spacing w:line="360" w:lineRule="auto"/>
      <w:ind w:firstLine="200" w:firstLineChars="200"/>
      <w:jc w:val="both"/>
      <w:textAlignment w:val="baseline"/>
    </w:pPr>
    <w:rPr>
      <w:rFonts w:hAnsi="Times New Roman" w:cs="Times New Roman"/>
      <w:lang w:val="zh-CN"/>
    </w:rPr>
  </w:style>
  <w:style w:type="paragraph" w:styleId="63">
    <w:name w:val="List Paragraph"/>
    <w:basedOn w:val="1"/>
    <w:qFormat/>
    <w:uiPriority w:val="34"/>
    <w:pPr>
      <w:widowControl w:val="0"/>
      <w:ind w:firstLine="420" w:firstLineChars="200"/>
      <w:jc w:val="both"/>
    </w:pPr>
    <w:rPr>
      <w:rFonts w:asciiTheme="minorHAnsi" w:hAnsiTheme="minorHAnsi" w:eastAsiaTheme="minorEastAsia" w:cstheme="minorBidi"/>
      <w:kern w:val="2"/>
      <w:sz w:val="21"/>
      <w:szCs w:val="22"/>
    </w:rPr>
  </w:style>
  <w:style w:type="paragraph" w:customStyle="1" w:styleId="64">
    <w:name w:val="修订3"/>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65">
    <w:name w:val="修订8"/>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66">
    <w:name w:val="修订4"/>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67">
    <w:name w:val="标题 3 字符"/>
    <w:basedOn w:val="28"/>
    <w:link w:val="4"/>
    <w:qFormat/>
    <w:uiPriority w:val="9"/>
    <w:rPr>
      <w:rFonts w:asciiTheme="minorHAnsi" w:hAnsiTheme="minorHAnsi" w:eastAsiaTheme="minorEastAsia"/>
      <w:b/>
      <w:bCs/>
      <w:sz w:val="30"/>
      <w:szCs w:val="32"/>
    </w:rPr>
  </w:style>
  <w:style w:type="paragraph" w:customStyle="1" w:styleId="68">
    <w:name w:val="p2"/>
    <w:basedOn w:val="1"/>
    <w:qFormat/>
    <w:uiPriority w:val="0"/>
    <w:pPr>
      <w:widowControl w:val="0"/>
    </w:pPr>
    <w:rPr>
      <w:rFonts w:ascii="PingFang SC" w:hAnsi="PingFang SC" w:eastAsia="PingFang SC" w:cs="Times New Roman"/>
      <w:sz w:val="26"/>
      <w:szCs w:val="26"/>
    </w:rPr>
  </w:style>
  <w:style w:type="character" w:customStyle="1" w:styleId="69">
    <w:name w:val="标题 5 字符"/>
    <w:basedOn w:val="28"/>
    <w:link w:val="6"/>
    <w:qFormat/>
    <w:uiPriority w:val="9"/>
    <w:rPr>
      <w:b/>
      <w:bCs/>
      <w:sz w:val="28"/>
      <w:szCs w:val="28"/>
    </w:rPr>
  </w:style>
  <w:style w:type="character" w:customStyle="1" w:styleId="70">
    <w:name w:val="批注主题 字符"/>
    <w:basedOn w:val="47"/>
    <w:link w:val="23"/>
    <w:semiHidden/>
    <w:qFormat/>
    <w:uiPriority w:val="99"/>
    <w:rPr>
      <w:b/>
      <w:bCs/>
    </w:rPr>
  </w:style>
  <w:style w:type="character" w:customStyle="1" w:styleId="71">
    <w:name w:val="标题 7 字符"/>
    <w:basedOn w:val="28"/>
    <w:link w:val="8"/>
    <w:qFormat/>
    <w:uiPriority w:val="9"/>
    <w:rPr>
      <w:b/>
      <w:bCs/>
      <w:sz w:val="24"/>
      <w:szCs w:val="24"/>
    </w:rPr>
  </w:style>
  <w:style w:type="paragraph" w:customStyle="1" w:styleId="72">
    <w:name w:val="修订5"/>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73">
    <w:name w:val="标题 4 字符"/>
    <w:basedOn w:val="28"/>
    <w:link w:val="5"/>
    <w:qFormat/>
    <w:uiPriority w:val="9"/>
    <w:rPr>
      <w:rFonts w:asciiTheme="majorHAnsi" w:hAnsiTheme="majorHAnsi" w:eastAsiaTheme="majorEastAsia" w:cstheme="majorBidi"/>
      <w:b/>
      <w:bCs/>
      <w:sz w:val="28"/>
      <w:szCs w:val="28"/>
    </w:rPr>
  </w:style>
  <w:style w:type="paragraph" w:customStyle="1" w:styleId="74">
    <w:name w:val="修订6"/>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75">
    <w:name w:val="页脚 字符"/>
    <w:basedOn w:val="28"/>
    <w:link w:val="18"/>
    <w:qFormat/>
    <w:uiPriority w:val="99"/>
    <w:rPr>
      <w:sz w:val="18"/>
      <w:szCs w:val="18"/>
    </w:rPr>
  </w:style>
  <w:style w:type="character" w:customStyle="1" w:styleId="76">
    <w:name w:val="文档正文 Char"/>
    <w:link w:val="43"/>
    <w:qFormat/>
    <w:uiPriority w:val="0"/>
    <w:rPr>
      <w:rFonts w:ascii="长城仿宋" w:hAnsi="Arial"/>
      <w:sz w:val="24"/>
    </w:rPr>
  </w:style>
  <w:style w:type="paragraph" w:customStyle="1" w:styleId="77">
    <w:name w:val="修订1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78">
    <w:name w:val="标题 9 字符"/>
    <w:basedOn w:val="28"/>
    <w:link w:val="10"/>
    <w:qFormat/>
    <w:uiPriority w:val="0"/>
    <w:rPr>
      <w:rFonts w:ascii="Arial" w:hAnsi="Arial" w:eastAsia="黑体" w:cs="Times New Roman"/>
      <w:szCs w:val="21"/>
    </w:rPr>
  </w:style>
  <w:style w:type="paragraph" w:customStyle="1" w:styleId="79">
    <w:name w:val="0、正文"/>
    <w:basedOn w:val="1"/>
    <w:link w:val="82"/>
    <w:qFormat/>
    <w:uiPriority w:val="0"/>
    <w:pPr>
      <w:widowControl w:val="0"/>
      <w:spacing w:before="62" w:beforeLines="20" w:line="336" w:lineRule="auto"/>
      <w:ind w:firstLine="420"/>
      <w:jc w:val="both"/>
    </w:pPr>
    <w:rPr>
      <w:rFonts w:ascii="Courier New" w:hAnsi="Courier New" w:eastAsiaTheme="minorEastAsia" w:cstheme="minorBidi"/>
      <w:kern w:val="2"/>
      <w:sz w:val="21"/>
      <w:szCs w:val="22"/>
    </w:rPr>
  </w:style>
  <w:style w:type="paragraph" w:customStyle="1" w:styleId="80">
    <w:name w:val="正文缩进(ALT+Z)"/>
    <w:basedOn w:val="1"/>
    <w:link w:val="81"/>
    <w:qFormat/>
    <w:uiPriority w:val="0"/>
    <w:pPr>
      <w:widowControl w:val="0"/>
      <w:ind w:firstLine="200" w:firstLineChars="200"/>
      <w:jc w:val="both"/>
    </w:pPr>
    <w:rPr>
      <w:rFonts w:ascii="Calibri" w:hAnsi="Calibri" w:cs="Times New Roman"/>
      <w:szCs w:val="20"/>
    </w:rPr>
  </w:style>
  <w:style w:type="character" w:customStyle="1" w:styleId="81">
    <w:name w:val="正文缩进(ALT+Z) Char"/>
    <w:link w:val="80"/>
    <w:qFormat/>
    <w:uiPriority w:val="0"/>
    <w:rPr>
      <w:rFonts w:ascii="Calibri" w:hAnsi="Calibri" w:eastAsia="宋体" w:cs="Times New Roman"/>
      <w:kern w:val="0"/>
      <w:sz w:val="24"/>
      <w:szCs w:val="20"/>
    </w:rPr>
  </w:style>
  <w:style w:type="character" w:customStyle="1" w:styleId="82">
    <w:name w:val="0、正文 Char"/>
    <w:link w:val="79"/>
    <w:qFormat/>
    <w:uiPriority w:val="0"/>
    <w:rPr>
      <w:rFonts w:ascii="Courier New" w:hAnsi="Courier New"/>
    </w:rPr>
  </w:style>
  <w:style w:type="paragraph" w:customStyle="1" w:styleId="83">
    <w:name w:val="修订10"/>
    <w:hidden/>
    <w:unhideWhenUsed/>
    <w:qFormat/>
    <w:uiPriority w:val="99"/>
    <w:rPr>
      <w:rFonts w:ascii="宋体" w:hAnsi="宋体" w:eastAsia="宋体" w:cs="宋体"/>
      <w:sz w:val="24"/>
      <w:szCs w:val="24"/>
      <w:lang w:val="en-US" w:eastAsia="zh-CN" w:bidi="ar-SA"/>
    </w:rPr>
  </w:style>
  <w:style w:type="paragraph" w:customStyle="1" w:styleId="84">
    <w:name w:val="修订12"/>
    <w:hidden/>
    <w:unhideWhenUsed/>
    <w:qFormat/>
    <w:uiPriority w:val="99"/>
    <w:rPr>
      <w:rFonts w:ascii="宋体" w:hAnsi="宋体" w:eastAsia="宋体" w:cs="宋体"/>
      <w:sz w:val="24"/>
      <w:szCs w:val="24"/>
      <w:lang w:val="en-US" w:eastAsia="zh-CN" w:bidi="ar-SA"/>
    </w:rPr>
  </w:style>
  <w:style w:type="paragraph" w:customStyle="1" w:styleId="85">
    <w:name w:val="修订13"/>
    <w:hidden/>
    <w:unhideWhenUsed/>
    <w:qFormat/>
    <w:uiPriority w:val="99"/>
    <w:rPr>
      <w:rFonts w:ascii="宋体" w:hAnsi="宋体" w:eastAsia="宋体" w:cs="宋体"/>
      <w:sz w:val="24"/>
      <w:szCs w:val="24"/>
      <w:lang w:val="en-US" w:eastAsia="zh-CN" w:bidi="ar-SA"/>
    </w:rPr>
  </w:style>
  <w:style w:type="paragraph" w:customStyle="1" w:styleId="86">
    <w:name w:val="Revision"/>
    <w:hidden/>
    <w:unhideWhenUsed/>
    <w:qFormat/>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6917</Words>
  <Characters>7364</Characters>
  <Lines>54</Lines>
  <Paragraphs>15</Paragraphs>
  <TotalTime>43</TotalTime>
  <ScaleCrop>false</ScaleCrop>
  <LinksUpToDate>false</LinksUpToDate>
  <CharactersWithSpaces>7386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2026-05-14T07:31:00Z</dcterms:created>
  <dc:creator>Data</dc:creator>
  <cp:lastModifiedBy>admin</cp:lastModifiedBy>
  <dcterms:modified xsi:type="dcterms:W3CDTF">2026-06-25T06:29:31Z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974257F94C8CF9078781026A9E1337E4_42</vt:lpwstr>
  </property>
  <property fmtid="{D5CDD505-2E9C-101B-9397-08002B2CF9AE}" pid="4" name="KSOTemplateDocerSaveRecord">
    <vt:lpwstr>eyJoZGlkIjoiZGM2MDczYzIzZTU3NzM0MjlkZDBmZmFiMzkzMTIzNjAiLCJ1c2VySWQiOiIxNDA5MDU4NjM5In0=</vt:lpwstr>
  </property>
</Properties>
</file>