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AC21F">
      <w:pPr>
        <w:ind w:firstLine="480"/>
        <w:rPr>
          <w:rFonts w:hint="eastAsia"/>
        </w:rPr>
      </w:pPr>
    </w:p>
    <w:p w14:paraId="0445DE21">
      <w:pPr>
        <w:ind w:firstLine="480"/>
        <w:rPr>
          <w:rFonts w:hint="eastAsia"/>
        </w:rPr>
      </w:pPr>
    </w:p>
    <w:p w14:paraId="07675AAE">
      <w:pPr>
        <w:rPr>
          <w:rFonts w:hint="eastAsia"/>
        </w:rPr>
      </w:pPr>
    </w:p>
    <w:p w14:paraId="230E6BA7">
      <w:pPr>
        <w:ind w:firstLine="480"/>
        <w:rPr>
          <w:rFonts w:hint="eastAsia"/>
        </w:rPr>
      </w:pPr>
    </w:p>
    <w:p w14:paraId="7B44A01C">
      <w:pPr>
        <w:ind w:firstLine="480"/>
        <w:rPr>
          <w:rFonts w:hint="eastAsia"/>
        </w:rPr>
      </w:pPr>
    </w:p>
    <w:p w14:paraId="12BF4617">
      <w:pPr>
        <w:ind w:firstLine="480"/>
        <w:rPr>
          <w:rFonts w:hint="eastAsia"/>
        </w:rPr>
      </w:pPr>
    </w:p>
    <w:p w14:paraId="4EF093D5">
      <w:pPr>
        <w:ind w:firstLine="480"/>
        <w:rPr>
          <w:rFonts w:hint="eastAsia"/>
        </w:rPr>
      </w:pPr>
    </w:p>
    <w:p w14:paraId="7E64240C">
      <w:pPr>
        <w:ind w:firstLine="480"/>
        <w:rPr>
          <w:rFonts w:hint="eastAsia"/>
        </w:rPr>
      </w:pPr>
    </w:p>
    <w:p w14:paraId="62C7E01C">
      <w:pPr>
        <w:ind w:firstLine="480"/>
        <w:rPr>
          <w:rFonts w:hint="eastAsia"/>
        </w:rPr>
      </w:pPr>
      <w:r>
        <w:rPr>
          <w:rFonts w:eastAsiaTheme="minorEastAsia"/>
        </w:rPr>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1813560" cy="530860"/>
            <wp:effectExtent l="0" t="0" r="2540" b="2540"/>
            <wp:wrapNone/>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6">
                      <a:lum bright="-28000" contrast="62000"/>
                    </a:blip>
                    <a:srcRect/>
                    <a:stretch>
                      <a:fillRect/>
                    </a:stretch>
                  </pic:blipFill>
                  <pic:spPr>
                    <a:xfrm>
                      <a:off x="0" y="0"/>
                      <a:ext cx="1813560" cy="530860"/>
                    </a:xfrm>
                    <a:prstGeom prst="rect">
                      <a:avLst/>
                    </a:prstGeom>
                    <a:solidFill>
                      <a:srgbClr val="000000"/>
                    </a:solidFill>
                  </pic:spPr>
                </pic:pic>
              </a:graphicData>
            </a:graphic>
          </wp:anchor>
        </w:drawing>
      </w:r>
    </w:p>
    <w:p w14:paraId="28ED86D6">
      <w:pPr>
        <w:ind w:firstLine="480"/>
        <w:rPr>
          <w:rFonts w:hint="eastAsia"/>
        </w:rPr>
      </w:pPr>
    </w:p>
    <w:p w14:paraId="3B5A9277">
      <w:pPr>
        <w:jc w:val="center"/>
        <w:outlineLvl w:val="0"/>
        <w:rPr>
          <w:rFonts w:hint="eastAsia"/>
          <w:b/>
          <w:sz w:val="52"/>
          <w:szCs w:val="52"/>
        </w:rPr>
      </w:pPr>
      <w:bookmarkStart w:id="0" w:name="_Toc357852662"/>
      <w:r>
        <w:rPr>
          <w:rFonts w:hint="eastAsia"/>
          <w:b/>
          <w:sz w:val="52"/>
          <w:szCs w:val="52"/>
        </w:rPr>
        <w:t>中国移动（浙江）创新研究院</w:t>
      </w:r>
    </w:p>
    <w:bookmarkEnd w:id="0"/>
    <w:p w14:paraId="1CB1A717">
      <w:pPr>
        <w:jc w:val="center"/>
        <w:outlineLvl w:val="0"/>
        <w:rPr>
          <w:rFonts w:hint="eastAsia"/>
          <w:b/>
          <w:sz w:val="52"/>
          <w:szCs w:val="52"/>
        </w:rPr>
      </w:pPr>
      <w:r>
        <w:rPr>
          <w:rFonts w:hint="eastAsia"/>
          <w:b/>
          <w:sz w:val="52"/>
          <w:szCs w:val="52"/>
        </w:rPr>
        <w:t>2026-2027年人形机器人设备、四足机器人设备及算力拓展包设备项目（包</w:t>
      </w:r>
      <w:r>
        <w:rPr>
          <w:b/>
          <w:sz w:val="52"/>
          <w:szCs w:val="52"/>
        </w:rPr>
        <w:t>3</w:t>
      </w:r>
      <w:r>
        <w:rPr>
          <w:rFonts w:hint="eastAsia"/>
          <w:b/>
          <w:sz w:val="52"/>
          <w:szCs w:val="52"/>
        </w:rPr>
        <w:t>：算力拓展包设备）</w:t>
      </w:r>
    </w:p>
    <w:p w14:paraId="6663D83F">
      <w:pPr>
        <w:topLinePunct/>
        <w:spacing w:line="360" w:lineRule="auto"/>
        <w:jc w:val="center"/>
        <w:rPr>
          <w:rFonts w:hint="eastAsia"/>
          <w:b/>
          <w:sz w:val="52"/>
          <w:szCs w:val="52"/>
        </w:rPr>
      </w:pPr>
      <w:r>
        <w:rPr>
          <w:rFonts w:hint="eastAsia"/>
          <w:b/>
          <w:sz w:val="52"/>
          <w:szCs w:val="52"/>
        </w:rPr>
        <w:t>技术规范书</w:t>
      </w:r>
    </w:p>
    <w:p w14:paraId="1F6BE040">
      <w:pPr>
        <w:topLinePunct/>
        <w:spacing w:line="360" w:lineRule="auto"/>
        <w:ind w:firstLine="883"/>
        <w:jc w:val="center"/>
        <w:rPr>
          <w:rFonts w:hint="eastAsia"/>
          <w:b/>
          <w:sz w:val="44"/>
          <w:szCs w:val="44"/>
        </w:rPr>
      </w:pPr>
    </w:p>
    <w:p w14:paraId="0886B84B">
      <w:pPr>
        <w:topLinePunct/>
        <w:spacing w:line="360" w:lineRule="auto"/>
        <w:ind w:firstLine="883"/>
        <w:jc w:val="center"/>
        <w:rPr>
          <w:rFonts w:hint="eastAsia"/>
          <w:b/>
          <w:sz w:val="44"/>
          <w:szCs w:val="44"/>
        </w:rPr>
      </w:pPr>
    </w:p>
    <w:p w14:paraId="3358BBD6">
      <w:pPr>
        <w:ind w:firstLine="800"/>
        <w:jc w:val="center"/>
        <w:rPr>
          <w:rFonts w:hint="eastAsia"/>
          <w:sz w:val="40"/>
        </w:rPr>
      </w:pPr>
    </w:p>
    <w:p w14:paraId="6E2AC91F">
      <w:pPr>
        <w:rPr>
          <w:rFonts w:hint="eastAsia"/>
          <w:sz w:val="40"/>
        </w:rPr>
      </w:pPr>
    </w:p>
    <w:p w14:paraId="7A7295EE">
      <w:pPr>
        <w:ind w:firstLine="800"/>
        <w:jc w:val="center"/>
        <w:rPr>
          <w:rFonts w:hint="eastAsia"/>
          <w:sz w:val="40"/>
        </w:rPr>
      </w:pPr>
    </w:p>
    <w:p w14:paraId="18EECC6A">
      <w:pPr>
        <w:spacing w:line="360" w:lineRule="auto"/>
        <w:ind w:firstLine="643"/>
        <w:jc w:val="center"/>
        <w:rPr>
          <w:rFonts w:hint="eastAsia"/>
          <w:b/>
          <w:sz w:val="32"/>
        </w:rPr>
      </w:pPr>
    </w:p>
    <w:p w14:paraId="1C24C937">
      <w:pPr>
        <w:pStyle w:val="24"/>
        <w:ind w:firstLine="321"/>
        <w:rPr>
          <w:rFonts w:hint="eastAsia" w:ascii="宋体" w:hAnsi="宋体" w:eastAsia="宋体" w:cs="宋体"/>
          <w:b/>
          <w:sz w:val="32"/>
        </w:rPr>
      </w:pPr>
    </w:p>
    <w:p w14:paraId="4A47FA21">
      <w:pPr>
        <w:jc w:val="center"/>
        <w:rPr>
          <w:rFonts w:hint="eastAsia"/>
          <w:color w:val="000000"/>
          <w:sz w:val="30"/>
        </w:rPr>
      </w:pPr>
      <w:r>
        <w:rPr>
          <w:rFonts w:hint="eastAsia"/>
          <w:color w:val="000000"/>
          <w:sz w:val="30"/>
        </w:rPr>
        <w:t>中国移动（浙江）创新研究院有限公司</w:t>
      </w:r>
    </w:p>
    <w:p w14:paraId="465391D7">
      <w:pPr>
        <w:jc w:val="center"/>
        <w:rPr>
          <w:rFonts w:hint="eastAsia"/>
          <w:color w:val="000000"/>
          <w:sz w:val="30"/>
        </w:rPr>
      </w:pPr>
      <w:r>
        <w:rPr>
          <w:rFonts w:hint="eastAsia"/>
          <w:color w:val="000000"/>
          <w:sz w:val="30"/>
        </w:rPr>
        <w:t>2026年6月</w:t>
      </w:r>
    </w:p>
    <w:p w14:paraId="0F0EB462">
      <w:pPr>
        <w:ind w:firstLine="600"/>
        <w:rPr>
          <w:rFonts w:hint="eastAsia"/>
        </w:rPr>
      </w:pPr>
      <w:r>
        <w:rPr>
          <w:rFonts w:hint="eastAsia"/>
          <w:color w:val="000000"/>
          <w:sz w:val="30"/>
        </w:rPr>
        <w:br w:type="page"/>
      </w:r>
    </w:p>
    <w:p w14:paraId="422ACDD2">
      <w:pPr>
        <w:pStyle w:val="2"/>
        <w:pageBreakBefore/>
        <w:numPr>
          <w:ilvl w:val="0"/>
          <w:numId w:val="1"/>
        </w:numPr>
        <w:spacing w:before="100" w:beforeAutospacing="1" w:after="100" w:afterAutospacing="1" w:line="360" w:lineRule="auto"/>
        <w:rPr>
          <w:rFonts w:hint="eastAsia" w:ascii="宋体" w:hAnsi="宋体" w:eastAsia="宋体" w:cs="宋体"/>
          <w:sz w:val="36"/>
        </w:rPr>
      </w:pPr>
      <w:bookmarkStart w:id="1" w:name="_Toc1702018116"/>
      <w:bookmarkStart w:id="2" w:name="_Toc1475478634"/>
      <w:bookmarkStart w:id="3" w:name="_Toc453772552"/>
      <w:bookmarkStart w:id="4" w:name="_Toc132117406"/>
      <w:bookmarkStart w:id="5" w:name="_Toc1741615879"/>
      <w:r>
        <w:rPr>
          <w:rFonts w:hint="eastAsia" w:ascii="宋体" w:hAnsi="宋体" w:eastAsia="宋体" w:cs="宋体"/>
          <w:sz w:val="36"/>
        </w:rPr>
        <w:t>总则</w:t>
      </w:r>
      <w:bookmarkEnd w:id="1"/>
      <w:bookmarkEnd w:id="2"/>
      <w:bookmarkEnd w:id="3"/>
      <w:bookmarkEnd w:id="4"/>
      <w:bookmarkEnd w:id="5"/>
    </w:p>
    <w:p w14:paraId="7F26D04B">
      <w:pPr>
        <w:pStyle w:val="3"/>
        <w:numPr>
          <w:ilvl w:val="1"/>
          <w:numId w:val="1"/>
        </w:numPr>
        <w:spacing w:before="100" w:beforeAutospacing="1" w:after="100" w:afterAutospacing="1" w:line="360" w:lineRule="auto"/>
        <w:rPr>
          <w:rFonts w:hint="eastAsia" w:ascii="宋体" w:hAnsi="宋体" w:eastAsia="宋体" w:cs="宋体"/>
          <w:sz w:val="28"/>
        </w:rPr>
      </w:pPr>
      <w:bookmarkStart w:id="6" w:name="_Toc1336297572"/>
      <w:bookmarkStart w:id="7" w:name="_Toc1375729729"/>
      <w:bookmarkStart w:id="8" w:name="_Toc453772553"/>
      <w:bookmarkStart w:id="9" w:name="_Toc1135969743"/>
      <w:bookmarkStart w:id="10" w:name="_Toc132117407"/>
      <w:r>
        <w:rPr>
          <w:rFonts w:hint="eastAsia" w:ascii="宋体" w:hAnsi="宋体" w:eastAsia="宋体" w:cs="宋体"/>
          <w:sz w:val="28"/>
        </w:rPr>
        <w:t>概述</w:t>
      </w:r>
      <w:bookmarkEnd w:id="6"/>
      <w:bookmarkEnd w:id="7"/>
      <w:bookmarkEnd w:id="8"/>
      <w:bookmarkEnd w:id="9"/>
      <w:bookmarkEnd w:id="10"/>
    </w:p>
    <w:p w14:paraId="0F11D9BD">
      <w:pPr>
        <w:spacing w:line="360" w:lineRule="auto"/>
        <w:ind w:firstLine="480"/>
        <w:rPr>
          <w:rFonts w:hint="eastAsia"/>
          <w:bCs/>
          <w:iCs/>
        </w:rPr>
      </w:pPr>
      <w:bookmarkStart w:id="11" w:name="_Toc269301121"/>
      <w:r>
        <w:rPr>
          <w:rFonts w:hint="eastAsia"/>
          <w:bCs/>
          <w:iCs/>
        </w:rPr>
        <w:t>本技术规范书即为中国移动（浙江）创新研究院（以下简称甲方），针对中国移动（浙江）创新研究院2026-2027年人形机器人设备、四足机器人设备及算力拓展包设备（包3：算力拓展包设备）项目的第三方（以下简称乙方）制定的要求和标准。其目的在于有效规范乙方所提供的硬件设备质量，并作为甲方评价乙方所提供技术服务的依据，保证甲方更为合理的选择和使用相关技术服务。</w:t>
      </w:r>
      <w:bookmarkEnd w:id="11"/>
    </w:p>
    <w:p w14:paraId="3ADAF151">
      <w:pPr>
        <w:spacing w:line="360" w:lineRule="auto"/>
        <w:ind w:firstLine="480"/>
        <w:rPr>
          <w:rFonts w:hint="eastAsia"/>
          <w:bCs/>
          <w:iCs/>
        </w:rPr>
      </w:pPr>
      <w:bookmarkStart w:id="12" w:name="_Toc269301123"/>
      <w:bookmarkStart w:id="13" w:name="_Toc269300756"/>
      <w:bookmarkStart w:id="14" w:name="_Toc269300715"/>
      <w:r>
        <w:rPr>
          <w:rFonts w:hint="eastAsia"/>
          <w:bCs/>
          <w:iCs/>
        </w:rPr>
        <w:t>卖方应保证所提供的设备在功能能力、产品性能、技术指标、服务内容等方面满足本规范的要求。当中国移动</w:t>
      </w:r>
      <w:r>
        <w:rPr>
          <w:rFonts w:hint="eastAsia"/>
          <w:bCs/>
          <w:iCs/>
          <w:lang w:eastAsia="zh-Hans"/>
        </w:rPr>
        <w:t>（</w:t>
      </w:r>
      <w:r>
        <w:rPr>
          <w:rFonts w:hint="eastAsia"/>
          <w:bCs/>
          <w:iCs/>
        </w:rPr>
        <w:t>浙江）创新研究院有新建议的功能、性能、技术、服务要求，而本规范又尚未包括或和原规定不符时，则应符合中国移动（浙江）创新研究院新建议的要求。对于中国移动（浙江）创新研究院尚未有标准的，而本规范又未提及的部分，卖方提出其标准，得到买方认可方可执行。</w:t>
      </w:r>
      <w:bookmarkEnd w:id="12"/>
      <w:bookmarkEnd w:id="13"/>
      <w:bookmarkEnd w:id="14"/>
    </w:p>
    <w:p w14:paraId="7C68791A">
      <w:pPr>
        <w:pStyle w:val="3"/>
        <w:numPr>
          <w:ilvl w:val="1"/>
          <w:numId w:val="1"/>
        </w:numPr>
        <w:spacing w:before="100" w:beforeAutospacing="1" w:after="100" w:afterAutospacing="1" w:line="360" w:lineRule="auto"/>
        <w:rPr>
          <w:rFonts w:hint="eastAsia" w:ascii="宋体" w:hAnsi="宋体" w:eastAsia="宋体" w:cs="宋体"/>
          <w:sz w:val="28"/>
        </w:rPr>
      </w:pPr>
      <w:bookmarkStart w:id="15" w:name="_Toc769312278"/>
      <w:bookmarkStart w:id="16" w:name="_Toc2080611701"/>
      <w:bookmarkStart w:id="17" w:name="_Toc132117408"/>
      <w:bookmarkStart w:id="18" w:name="_Toc1113848771"/>
      <w:bookmarkStart w:id="19" w:name="_Toc453772554"/>
      <w:r>
        <w:rPr>
          <w:rFonts w:hint="eastAsia" w:ascii="宋体" w:hAnsi="宋体" w:eastAsia="宋体" w:cs="宋体"/>
          <w:sz w:val="28"/>
          <w:lang w:eastAsia="zh-Hans"/>
        </w:rPr>
        <w:t>规范</w:t>
      </w:r>
      <w:r>
        <w:rPr>
          <w:rFonts w:hint="eastAsia" w:ascii="宋体" w:hAnsi="宋体" w:eastAsia="宋体" w:cs="宋体"/>
          <w:sz w:val="28"/>
        </w:rPr>
        <w:t>要求</w:t>
      </w:r>
      <w:bookmarkEnd w:id="15"/>
      <w:bookmarkEnd w:id="16"/>
      <w:bookmarkEnd w:id="17"/>
      <w:bookmarkEnd w:id="18"/>
      <w:bookmarkEnd w:id="19"/>
    </w:p>
    <w:p w14:paraId="4EFAE1FD">
      <w:pPr>
        <w:pStyle w:val="33"/>
        <w:ind w:firstLine="480"/>
        <w:rPr>
          <w:rFonts w:hint="eastAsia" w:ascii="宋体" w:hAnsi="宋体"/>
        </w:rPr>
      </w:pPr>
      <w:r>
        <w:rPr>
          <w:rFonts w:hint="eastAsia" w:ascii="宋体" w:hAnsi="宋体" w:cs="宋体"/>
          <w:color w:val="000000"/>
        </w:rPr>
        <w:t>（1）</w:t>
      </w:r>
      <w:r>
        <w:rPr>
          <w:rFonts w:hint="eastAsia" w:ascii="宋体" w:hAnsi="宋体"/>
        </w:rPr>
        <w:t>卖方</w:t>
      </w:r>
      <w:r>
        <w:rPr>
          <w:rFonts w:ascii="宋体" w:hAnsi="宋体"/>
        </w:rPr>
        <w:t>应承诺所提供的</w:t>
      </w:r>
      <w:r>
        <w:rPr>
          <w:rFonts w:hint="eastAsia" w:ascii="宋体" w:hAnsi="宋体"/>
        </w:rPr>
        <w:t>服务</w:t>
      </w:r>
      <w:r>
        <w:rPr>
          <w:rFonts w:ascii="宋体" w:hAnsi="宋体"/>
        </w:rPr>
        <w:t>满足</w:t>
      </w:r>
      <w:r>
        <w:rPr>
          <w:rFonts w:hint="eastAsia" w:ascii="宋体" w:hAnsi="宋体"/>
        </w:rPr>
        <w:t>本技术规范书</w:t>
      </w:r>
      <w:r>
        <w:rPr>
          <w:rFonts w:ascii="宋体" w:hAnsi="宋体"/>
        </w:rPr>
        <w:t>的要求</w:t>
      </w:r>
      <w:r>
        <w:rPr>
          <w:rFonts w:hint="eastAsia" w:ascii="宋体" w:hAnsi="宋体"/>
        </w:rPr>
        <w:t>。</w:t>
      </w:r>
    </w:p>
    <w:p w14:paraId="09BC9762">
      <w:pPr>
        <w:pStyle w:val="33"/>
        <w:ind w:firstLine="480"/>
        <w:rPr>
          <w:rFonts w:hint="eastAsia" w:ascii="宋体" w:hAnsi="宋体" w:cs="宋体"/>
          <w:color w:val="000000"/>
        </w:rPr>
      </w:pPr>
      <w:r>
        <w:rPr>
          <w:rFonts w:ascii="宋体" w:hAnsi="宋体" w:cs="宋体"/>
          <w:color w:val="000000"/>
        </w:rPr>
        <w:t>（2）当</w:t>
      </w:r>
      <w:r>
        <w:rPr>
          <w:rFonts w:hint="eastAsia" w:ascii="宋体" w:hAnsi="宋体" w:cs="宋体"/>
          <w:color w:val="000000"/>
        </w:rPr>
        <w:t>买方</w:t>
      </w:r>
      <w:r>
        <w:rPr>
          <w:rFonts w:ascii="宋体" w:hAnsi="宋体" w:cs="宋体"/>
          <w:color w:val="000000"/>
        </w:rPr>
        <w:t>有新建议，而</w:t>
      </w:r>
      <w:r>
        <w:rPr>
          <w:rFonts w:hint="eastAsia" w:ascii="宋体" w:hAnsi="宋体" w:cs="宋体"/>
          <w:color w:val="000000"/>
        </w:rPr>
        <w:t>本技术规范书</w:t>
      </w:r>
      <w:r>
        <w:rPr>
          <w:rFonts w:ascii="宋体" w:hAnsi="宋体" w:cs="宋体"/>
          <w:color w:val="000000"/>
        </w:rPr>
        <w:t>又尚未包括或和</w:t>
      </w:r>
      <w:r>
        <w:rPr>
          <w:rFonts w:hint="eastAsia" w:ascii="宋体" w:hAnsi="宋体" w:cs="宋体"/>
          <w:color w:val="000000"/>
        </w:rPr>
        <w:t>本技术规范书</w:t>
      </w:r>
      <w:r>
        <w:rPr>
          <w:rFonts w:ascii="宋体" w:hAnsi="宋体" w:cs="宋体"/>
          <w:color w:val="000000"/>
        </w:rPr>
        <w:t>不符时，则应符合</w:t>
      </w:r>
      <w:r>
        <w:rPr>
          <w:rFonts w:hint="eastAsia" w:ascii="宋体" w:hAnsi="宋体" w:cs="宋体"/>
          <w:color w:val="000000"/>
        </w:rPr>
        <w:t>买方</w:t>
      </w:r>
      <w:r>
        <w:rPr>
          <w:rFonts w:ascii="宋体" w:hAnsi="宋体" w:cs="宋体"/>
          <w:color w:val="000000"/>
        </w:rPr>
        <w:t>新建议的要求；对于</w:t>
      </w:r>
      <w:r>
        <w:rPr>
          <w:rFonts w:hint="eastAsia" w:ascii="宋体" w:hAnsi="宋体" w:cs="宋体"/>
          <w:color w:val="000000"/>
        </w:rPr>
        <w:t>买方</w:t>
      </w:r>
      <w:r>
        <w:rPr>
          <w:rFonts w:ascii="宋体" w:hAnsi="宋体" w:cs="宋体"/>
          <w:color w:val="000000"/>
        </w:rPr>
        <w:t>尚未有标准的，而</w:t>
      </w:r>
      <w:r>
        <w:rPr>
          <w:rFonts w:hint="eastAsia" w:ascii="宋体" w:hAnsi="宋体" w:cs="宋体"/>
          <w:color w:val="000000"/>
        </w:rPr>
        <w:t>本技术规范书</w:t>
      </w:r>
      <w:r>
        <w:rPr>
          <w:rFonts w:ascii="宋体" w:hAnsi="宋体" w:cs="宋体"/>
          <w:color w:val="000000"/>
        </w:rPr>
        <w:t>又未提及的部分，</w:t>
      </w:r>
      <w:r>
        <w:rPr>
          <w:rFonts w:hint="eastAsia" w:ascii="宋体" w:hAnsi="宋体" w:cs="宋体"/>
          <w:color w:val="000000"/>
        </w:rPr>
        <w:t>卖方</w:t>
      </w:r>
      <w:r>
        <w:rPr>
          <w:rFonts w:ascii="宋体" w:hAnsi="宋体" w:cs="宋体"/>
          <w:color w:val="000000"/>
        </w:rPr>
        <w:t>提出其标准，留待双方认可后执行。</w:t>
      </w:r>
    </w:p>
    <w:p w14:paraId="2308305E">
      <w:pPr>
        <w:pStyle w:val="33"/>
        <w:ind w:firstLine="480"/>
        <w:rPr>
          <w:rFonts w:hint="eastAsia" w:ascii="宋体" w:hAnsi="宋体" w:cs="宋体"/>
          <w:color w:val="000000"/>
        </w:rPr>
      </w:pPr>
      <w:r>
        <w:rPr>
          <w:rFonts w:ascii="宋体" w:hAnsi="宋体" w:cs="宋体"/>
          <w:color w:val="000000"/>
        </w:rPr>
        <w:t>（3）未经买方许可，卖方不得以任何形式向第三方提供本文件的全部或部分内容。</w:t>
      </w:r>
    </w:p>
    <w:p w14:paraId="0C344E9C">
      <w:pPr>
        <w:spacing w:line="360" w:lineRule="auto"/>
        <w:ind w:firstLine="480"/>
        <w:rPr>
          <w:rFonts w:hint="eastAsia"/>
          <w:color w:val="000000"/>
          <w:szCs w:val="20"/>
        </w:rPr>
      </w:pPr>
      <w:r>
        <w:rPr>
          <w:color w:val="000000"/>
          <w:szCs w:val="20"/>
        </w:rPr>
        <w:t>（4）买方在任何时候保留和拥有对本文件的解释权和修改权。</w:t>
      </w:r>
    </w:p>
    <w:p w14:paraId="4DB85C96">
      <w:pPr>
        <w:pStyle w:val="2"/>
        <w:numPr>
          <w:ilvl w:val="0"/>
          <w:numId w:val="1"/>
        </w:numPr>
        <w:spacing w:before="100" w:beforeAutospacing="1" w:after="100" w:afterAutospacing="1" w:line="360" w:lineRule="auto"/>
        <w:rPr>
          <w:rFonts w:hint="eastAsia" w:ascii="宋体" w:hAnsi="宋体" w:eastAsia="宋体" w:cs="宋体"/>
          <w:sz w:val="36"/>
        </w:rPr>
      </w:pPr>
      <w:bookmarkStart w:id="20" w:name="_Toc453772563"/>
      <w:bookmarkStart w:id="21" w:name="_Toc132117414"/>
      <w:bookmarkStart w:id="22" w:name="_Toc1364634606"/>
      <w:bookmarkStart w:id="23" w:name="_Toc841343298"/>
      <w:bookmarkStart w:id="24" w:name="_Toc1979901406"/>
      <w:r>
        <w:rPr>
          <w:rFonts w:hint="eastAsia" w:ascii="宋体" w:hAnsi="宋体" w:eastAsia="宋体" w:cs="宋体"/>
          <w:sz w:val="36"/>
          <w:lang w:eastAsia="zh-Hans"/>
        </w:rPr>
        <w:t>项目总体</w:t>
      </w:r>
      <w:bookmarkEnd w:id="20"/>
      <w:bookmarkEnd w:id="21"/>
      <w:r>
        <w:rPr>
          <w:rFonts w:hint="eastAsia" w:ascii="宋体" w:hAnsi="宋体" w:eastAsia="宋体" w:cs="宋体"/>
          <w:sz w:val="36"/>
          <w:lang w:eastAsia="zh-Hans"/>
        </w:rPr>
        <w:t>要求</w:t>
      </w:r>
      <w:bookmarkEnd w:id="22"/>
      <w:bookmarkEnd w:id="23"/>
      <w:bookmarkEnd w:id="24"/>
    </w:p>
    <w:p w14:paraId="34C4BCE3">
      <w:pPr>
        <w:pStyle w:val="3"/>
        <w:numPr>
          <w:ilvl w:val="1"/>
          <w:numId w:val="1"/>
        </w:numPr>
        <w:spacing w:before="100" w:beforeAutospacing="1" w:after="100" w:afterAutospacing="1" w:line="360" w:lineRule="auto"/>
        <w:rPr>
          <w:rFonts w:hint="eastAsia" w:ascii="宋体" w:hAnsi="宋体" w:eastAsia="宋体" w:cs="宋体"/>
          <w:sz w:val="30"/>
          <w:szCs w:val="30"/>
        </w:rPr>
      </w:pPr>
      <w:bookmarkStart w:id="25" w:name="_Toc943820377"/>
      <w:bookmarkStart w:id="26" w:name="_Toc1424477638"/>
      <w:bookmarkStart w:id="27" w:name="_Toc132117415"/>
      <w:bookmarkStart w:id="28" w:name="_Toc288473082"/>
      <w:r>
        <w:rPr>
          <w:rFonts w:hint="eastAsia" w:ascii="宋体" w:hAnsi="宋体" w:eastAsia="宋体" w:cs="宋体"/>
          <w:sz w:val="30"/>
          <w:szCs w:val="30"/>
        </w:rPr>
        <w:t>项目</w:t>
      </w:r>
      <w:bookmarkEnd w:id="25"/>
      <w:bookmarkEnd w:id="26"/>
      <w:bookmarkEnd w:id="27"/>
      <w:r>
        <w:rPr>
          <w:rFonts w:hint="eastAsia" w:ascii="宋体" w:hAnsi="宋体" w:eastAsia="宋体" w:cs="宋体"/>
          <w:sz w:val="30"/>
          <w:szCs w:val="30"/>
        </w:rPr>
        <w:t>背景</w:t>
      </w:r>
      <w:bookmarkEnd w:id="28"/>
    </w:p>
    <w:p w14:paraId="7A8F147F">
      <w:pPr>
        <w:spacing w:line="360" w:lineRule="auto"/>
        <w:ind w:firstLine="480"/>
        <w:rPr>
          <w:rFonts w:hint="eastAsia"/>
        </w:rPr>
      </w:pPr>
      <w:bookmarkStart w:id="29" w:name="_Toc132117419"/>
      <w:bookmarkStart w:id="30" w:name="_Toc448259533"/>
      <w:bookmarkStart w:id="31" w:name="_Toc460445044"/>
      <w:bookmarkStart w:id="32" w:name="_Toc491091622"/>
      <w:r>
        <w:rPr>
          <w:rFonts w:hint="eastAsia"/>
        </w:rPr>
        <w:t>当前，具身智能市场需求旺盛，</w:t>
      </w:r>
      <w:r>
        <w:t>为提升</w:t>
      </w:r>
      <w:r>
        <w:rPr>
          <w:rFonts w:hint="eastAsia"/>
        </w:rPr>
        <w:t>人形</w:t>
      </w:r>
      <w:r>
        <w:t>机器人本体的语音交互、边缘算力及快速部署能力，满足展厅导览、物体识别、人机交互等多元场景需求，拟采购一批即插即用</w:t>
      </w:r>
      <w:r>
        <w:rPr>
          <w:rFonts w:hint="eastAsia"/>
        </w:rPr>
        <w:t>算力</w:t>
      </w:r>
      <w:r>
        <w:t>拓展背包套件。</w:t>
      </w:r>
    </w:p>
    <w:bookmarkEnd w:id="29"/>
    <w:bookmarkEnd w:id="30"/>
    <w:bookmarkEnd w:id="31"/>
    <w:bookmarkEnd w:id="32"/>
    <w:p w14:paraId="5E1249A4">
      <w:pPr>
        <w:pStyle w:val="3"/>
        <w:numPr>
          <w:ilvl w:val="1"/>
          <w:numId w:val="1"/>
        </w:numPr>
        <w:spacing w:before="100" w:beforeAutospacing="1" w:after="100" w:afterAutospacing="1" w:line="360" w:lineRule="auto"/>
        <w:rPr>
          <w:rFonts w:hint="eastAsia" w:ascii="宋体" w:hAnsi="宋体" w:eastAsia="宋体" w:cs="宋体"/>
          <w:kern w:val="0"/>
          <w:sz w:val="30"/>
          <w:szCs w:val="20"/>
          <w:lang w:eastAsia="zh-Hans"/>
        </w:rPr>
      </w:pPr>
      <w:bookmarkStart w:id="33" w:name="_Toc1047965110"/>
      <w:bookmarkStart w:id="34" w:name="_Toc1496497895"/>
      <w:bookmarkStart w:id="35" w:name="_Toc1474859497"/>
      <w:bookmarkStart w:id="36" w:name="_Toc78556734"/>
      <w:bookmarkStart w:id="37" w:name="_Toc3775"/>
      <w:r>
        <w:rPr>
          <w:rFonts w:hint="eastAsia" w:ascii="宋体" w:hAnsi="宋体" w:eastAsia="宋体" w:cs="宋体"/>
          <w:kern w:val="0"/>
          <w:sz w:val="30"/>
          <w:szCs w:val="20"/>
        </w:rPr>
        <w:t>建设目标</w:t>
      </w:r>
      <w:bookmarkEnd w:id="33"/>
      <w:bookmarkEnd w:id="34"/>
      <w:bookmarkEnd w:id="35"/>
    </w:p>
    <w:p w14:paraId="7E9FFC01">
      <w:pPr>
        <w:spacing w:line="360" w:lineRule="auto"/>
        <w:ind w:firstLine="480"/>
        <w:rPr>
          <w:rFonts w:hint="eastAsia"/>
        </w:rPr>
      </w:pPr>
      <w:r>
        <w:rPr>
          <w:rFonts w:hint="eastAsia"/>
        </w:rPr>
        <w:t>采购具备高算力、低时延语音交互、自主导航避障能力的标准化背包模组。要求套件集成度⾼，免结构改造即可完成部署，显著提升机器人在未知环境下的任务执行效率与交互体验。</w:t>
      </w:r>
      <w:bookmarkStart w:id="38" w:name="_Toc1707312405"/>
      <w:bookmarkStart w:id="39" w:name="_Toc1636214723"/>
      <w:bookmarkStart w:id="40" w:name="_Toc311647601"/>
    </w:p>
    <w:p w14:paraId="5A93B3FD">
      <w:pPr>
        <w:pStyle w:val="3"/>
        <w:numPr>
          <w:ilvl w:val="1"/>
          <w:numId w:val="1"/>
        </w:numPr>
        <w:spacing w:before="100" w:beforeAutospacing="1" w:after="100" w:afterAutospacing="1" w:line="360" w:lineRule="auto"/>
        <w:rPr>
          <w:rFonts w:hint="eastAsia" w:ascii="宋体" w:hAnsi="宋体" w:eastAsia="宋体" w:cs="宋体"/>
          <w:kern w:val="0"/>
          <w:sz w:val="30"/>
          <w:szCs w:val="20"/>
        </w:rPr>
      </w:pPr>
      <w:r>
        <w:rPr>
          <w:rFonts w:hint="eastAsia" w:ascii="宋体" w:hAnsi="宋体" w:eastAsia="宋体" w:cs="宋体"/>
          <w:kern w:val="0"/>
          <w:sz w:val="30"/>
          <w:szCs w:val="20"/>
        </w:rPr>
        <w:t>项目内容要求</w:t>
      </w:r>
      <w:bookmarkEnd w:id="38"/>
      <w:bookmarkEnd w:id="39"/>
      <w:bookmarkEnd w:id="40"/>
    </w:p>
    <w:p w14:paraId="6F6CD40A">
      <w:pPr>
        <w:spacing w:line="360" w:lineRule="auto"/>
        <w:ind w:firstLine="480"/>
        <w:rPr>
          <w:rFonts w:hint="eastAsia"/>
        </w:rPr>
      </w:pPr>
      <w:r>
        <w:rPr>
          <w:rFonts w:hint="eastAsia"/>
        </w:rPr>
        <w:t>本次项目采购的背包模组共140套，甲方负责提供产品</w:t>
      </w:r>
      <w:r>
        <w:t>数量、规格参数</w:t>
      </w:r>
      <w:r>
        <w:rPr>
          <w:rFonts w:hint="eastAsia"/>
        </w:rPr>
        <w:t>、</w:t>
      </w:r>
      <w:r>
        <w:t>技术及验收标准</w:t>
      </w:r>
      <w:r>
        <w:rPr>
          <w:rFonts w:hint="eastAsia"/>
        </w:rPr>
        <w:t>等，乙方根据甲方</w:t>
      </w:r>
      <w:r>
        <w:t>确认后的方案及需求，</w:t>
      </w:r>
      <w:r>
        <w:rPr>
          <w:rFonts w:hint="eastAsia"/>
        </w:rPr>
        <w:t>提供</w:t>
      </w:r>
      <w:r>
        <w:t>符合标准的设备，严格把控设备质量，提前完成设备出厂检测、参数调试，确保设备符合甲方预设标准及相关行业规范，避免质量问题影响交付</w:t>
      </w:r>
      <w:r>
        <w:rPr>
          <w:rFonts w:hint="eastAsia"/>
        </w:rPr>
        <w:t>，并</w:t>
      </w:r>
      <w:r>
        <w:t>制定详细的交付验收方案、流程及标准，配合甲方完成设备交付验收工作，及时处理验收过程中出现的问题，直至验收合格</w:t>
      </w:r>
      <w:r>
        <w:rPr>
          <w:rFonts w:hint="eastAsia"/>
        </w:rPr>
        <w:t>，同时</w:t>
      </w:r>
      <w:r>
        <w:t>持续跟进甲方设备使用情况，根据甲方后续场景调整、需求升级，提供设备参数优化、功能拓展等技术支持，助力甲方充分发挥</w:t>
      </w:r>
      <w:r>
        <w:rPr>
          <w:rFonts w:hint="eastAsia"/>
        </w:rPr>
        <w:t>背包模组</w:t>
      </w:r>
      <w:r>
        <w:t>的应用</w:t>
      </w:r>
      <w:r>
        <w:rPr>
          <w:rFonts w:hint="eastAsia"/>
        </w:rPr>
        <w:t>价值。</w:t>
      </w:r>
    </w:p>
    <w:p w14:paraId="3D0F6963">
      <w:pPr>
        <w:pStyle w:val="2"/>
        <w:numPr>
          <w:ilvl w:val="0"/>
          <w:numId w:val="1"/>
        </w:numPr>
        <w:spacing w:before="100" w:beforeAutospacing="1" w:after="100" w:afterAutospacing="1" w:line="360" w:lineRule="auto"/>
        <w:rPr>
          <w:rFonts w:hint="eastAsia" w:ascii="宋体" w:hAnsi="宋体" w:eastAsia="宋体" w:cs="宋体"/>
          <w:color w:val="000000"/>
          <w:sz w:val="36"/>
          <w:lang w:eastAsia="zh-Hans"/>
        </w:rPr>
      </w:pPr>
      <w:bookmarkStart w:id="41" w:name="_Toc148614974"/>
      <w:r>
        <w:rPr>
          <w:rFonts w:hint="eastAsia" w:ascii="宋体" w:hAnsi="宋体" w:eastAsia="宋体" w:cs="宋体"/>
          <w:color w:val="000000"/>
          <w:sz w:val="36"/>
          <w:lang w:eastAsia="zh-Hans"/>
        </w:rPr>
        <w:t>项目功能要求</w:t>
      </w:r>
      <w:bookmarkEnd w:id="41"/>
    </w:p>
    <w:p w14:paraId="134AC838">
      <w:pPr>
        <w:pStyle w:val="58"/>
        <w:spacing w:line="360" w:lineRule="auto"/>
        <w:ind w:firstLine="420" w:firstLineChars="0"/>
        <w:rPr>
          <w:rFonts w:hint="eastAsia" w:ascii="宋体" w:hAnsi="宋体"/>
          <w:color w:val="000000"/>
        </w:rPr>
      </w:pPr>
      <w:r>
        <w:rPr>
          <w:rFonts w:hint="eastAsia" w:ascii="宋体" w:hAnsi="宋体"/>
          <w:color w:val="000000"/>
        </w:rPr>
        <w:t>本章节所列设备为核心采购内容。卖方应保证所提供设备在功能、性能及技术指标上满足以下要求。</w:t>
      </w:r>
    </w:p>
    <w:p w14:paraId="36EFCA3C">
      <w:pPr>
        <w:pStyle w:val="3"/>
        <w:numPr>
          <w:ilvl w:val="1"/>
          <w:numId w:val="1"/>
        </w:numPr>
        <w:spacing w:before="100" w:beforeAutospacing="1" w:after="100" w:afterAutospacing="1" w:line="360" w:lineRule="auto"/>
        <w:rPr>
          <w:rFonts w:hint="eastAsia" w:ascii="宋体" w:hAnsi="宋体" w:eastAsia="宋体" w:cs="宋体"/>
          <w:color w:val="000000"/>
          <w:kern w:val="0"/>
          <w:sz w:val="30"/>
          <w:szCs w:val="20"/>
        </w:rPr>
      </w:pPr>
      <w:bookmarkStart w:id="42" w:name="_Toc248386557"/>
      <w:r>
        <w:rPr>
          <w:rFonts w:hint="eastAsia" w:ascii="宋体" w:hAnsi="宋体" w:eastAsia="宋体" w:cs="宋体"/>
          <w:color w:val="000000"/>
          <w:kern w:val="0"/>
          <w:sz w:val="30"/>
          <w:szCs w:val="20"/>
        </w:rPr>
        <w:t>算力拓展包模组套件规格要求</w:t>
      </w:r>
      <w:bookmarkEnd w:id="42"/>
    </w:p>
    <w:p w14:paraId="282E3AFD">
      <w:pPr>
        <w:pStyle w:val="6"/>
        <w:spacing w:before="240" w:after="240" w:line="240" w:lineRule="auto"/>
        <w:rPr>
          <w:rFonts w:hint="eastAsia" w:ascii="宋体" w:hAnsi="宋体" w:eastAsia="宋体" w:cs="宋体"/>
          <w:color w:val="0F1115"/>
          <w:shd w:val="clear" w:color="auto" w:fill="FFFFFF"/>
        </w:rPr>
      </w:pPr>
      <w:r>
        <w:rPr>
          <w:rFonts w:ascii="宋体" w:hAnsi="宋体" w:eastAsia="宋体" w:cs="宋体"/>
          <w:color w:val="0F1115"/>
          <w:shd w:val="clear" w:color="auto" w:fill="FFFFFF"/>
        </w:rPr>
        <w:t xml:space="preserve">3.1.1. </w:t>
      </w:r>
      <w:r>
        <w:rPr>
          <w:rFonts w:hint="eastAsia" w:ascii="宋体" w:hAnsi="宋体" w:eastAsia="宋体" w:cs="宋体"/>
          <w:color w:val="0F1115"/>
          <w:shd w:val="clear" w:color="auto" w:fill="FFFFFF"/>
        </w:rPr>
        <w:t>算力拓展包（旗舰版）</w:t>
      </w:r>
    </w:p>
    <w:p w14:paraId="1099B190">
      <w:pPr>
        <w:pStyle w:val="58"/>
        <w:spacing w:line="360" w:lineRule="auto"/>
        <w:ind w:firstLine="480"/>
        <w:rPr>
          <w:rFonts w:hint="eastAsia" w:ascii="宋体" w:hAnsi="宋体" w:cs="宋体"/>
        </w:rPr>
      </w:pPr>
      <w:r>
        <w:rPr>
          <w:rFonts w:hint="eastAsia" w:ascii="宋体" w:hAnsi="宋体" w:cs="宋体"/>
        </w:rPr>
        <w:t>该套件为通用型能力增强模组，具备高算力与专业级拾音系统，适配复杂交互与定制化算法场景（如人脸识别、物体检测等），预估数量70套。规格参数要求如下：</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7"/>
        <w:gridCol w:w="2505"/>
        <w:gridCol w:w="4219"/>
      </w:tblGrid>
      <w:tr w14:paraId="297B7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733D96E2">
            <w:pPr>
              <w:spacing w:line="400" w:lineRule="auto"/>
              <w:ind w:firstLine="460"/>
              <w:rPr>
                <w:rFonts w:hint="eastAsia"/>
                <w:color w:val="000000"/>
                <w:sz w:val="23"/>
              </w:rPr>
            </w:pPr>
            <w:r>
              <w:rPr>
                <w:color w:val="000000"/>
                <w:sz w:val="23"/>
              </w:rPr>
              <w:t>序号</w:t>
            </w:r>
          </w:p>
        </w:tc>
        <w:tc>
          <w:tcPr>
            <w:tcW w:w="2505" w:type="dxa"/>
          </w:tcPr>
          <w:p w14:paraId="1CD25770">
            <w:pPr>
              <w:spacing w:line="400" w:lineRule="auto"/>
              <w:ind w:firstLine="460"/>
              <w:rPr>
                <w:rFonts w:hint="eastAsia"/>
                <w:color w:val="000000"/>
                <w:sz w:val="23"/>
              </w:rPr>
            </w:pPr>
            <w:r>
              <w:rPr>
                <w:color w:val="000000"/>
                <w:sz w:val="23"/>
              </w:rPr>
              <w:t>要求类型</w:t>
            </w:r>
          </w:p>
        </w:tc>
        <w:tc>
          <w:tcPr>
            <w:tcW w:w="4219" w:type="dxa"/>
          </w:tcPr>
          <w:p w14:paraId="4C711690">
            <w:pPr>
              <w:spacing w:line="400" w:lineRule="auto"/>
              <w:ind w:firstLine="460"/>
              <w:rPr>
                <w:rFonts w:hint="eastAsia"/>
                <w:color w:val="000000"/>
                <w:sz w:val="23"/>
              </w:rPr>
            </w:pPr>
            <w:r>
              <w:rPr>
                <w:color w:val="000000"/>
                <w:sz w:val="23"/>
              </w:rPr>
              <w:t>规格参数要求</w:t>
            </w:r>
          </w:p>
        </w:tc>
      </w:tr>
      <w:tr w14:paraId="2F95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00DC6FBB">
            <w:pPr>
              <w:spacing w:line="400" w:lineRule="auto"/>
              <w:ind w:firstLine="460"/>
              <w:rPr>
                <w:rFonts w:hint="eastAsia"/>
                <w:color w:val="000000"/>
                <w:sz w:val="23"/>
              </w:rPr>
            </w:pPr>
            <w:r>
              <w:rPr>
                <w:color w:val="000000"/>
                <w:sz w:val="23"/>
              </w:rPr>
              <w:t>1</w:t>
            </w:r>
          </w:p>
        </w:tc>
        <w:tc>
          <w:tcPr>
            <w:tcW w:w="2505" w:type="dxa"/>
          </w:tcPr>
          <w:p w14:paraId="23B6FDCD">
            <w:pPr>
              <w:spacing w:line="400" w:lineRule="auto"/>
              <w:ind w:firstLine="460"/>
              <w:rPr>
                <w:rFonts w:hint="eastAsia"/>
                <w:color w:val="000000"/>
                <w:sz w:val="23"/>
              </w:rPr>
            </w:pPr>
            <w:r>
              <w:rPr>
                <w:color w:val="000000"/>
                <w:sz w:val="23"/>
              </w:rPr>
              <w:t>集成与部署</w:t>
            </w:r>
          </w:p>
        </w:tc>
        <w:tc>
          <w:tcPr>
            <w:tcW w:w="4219" w:type="dxa"/>
          </w:tcPr>
          <w:p w14:paraId="546B3323">
            <w:pPr>
              <w:spacing w:line="400" w:lineRule="auto"/>
              <w:ind w:firstLine="460"/>
              <w:rPr>
                <w:rFonts w:hint="eastAsia"/>
                <w:color w:val="000000"/>
                <w:sz w:val="23"/>
              </w:rPr>
            </w:pPr>
            <w:r>
              <w:rPr>
                <w:color w:val="000000"/>
                <w:sz w:val="23"/>
              </w:rPr>
              <w:t>支持即插即用及免结构改造部署，可直接集成至现有机器人本体，无需对机械、电气结构进行改造。</w:t>
            </w:r>
          </w:p>
        </w:tc>
      </w:tr>
      <w:tr w14:paraId="03589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1B16B0C0">
            <w:pPr>
              <w:spacing w:line="400" w:lineRule="auto"/>
              <w:ind w:firstLine="460"/>
              <w:rPr>
                <w:rFonts w:hint="eastAsia"/>
                <w:color w:val="000000"/>
                <w:sz w:val="23"/>
              </w:rPr>
            </w:pPr>
            <w:r>
              <w:rPr>
                <w:rFonts w:hint="eastAsia"/>
                <w:color w:val="000000"/>
                <w:sz w:val="23"/>
              </w:rPr>
              <w:t>2</w:t>
            </w:r>
          </w:p>
        </w:tc>
        <w:tc>
          <w:tcPr>
            <w:tcW w:w="2505" w:type="dxa"/>
          </w:tcPr>
          <w:p w14:paraId="508779A2">
            <w:pPr>
              <w:spacing w:line="400" w:lineRule="auto"/>
              <w:ind w:firstLine="460"/>
              <w:rPr>
                <w:rFonts w:hint="eastAsia"/>
                <w:color w:val="000000"/>
                <w:sz w:val="23"/>
              </w:rPr>
            </w:pPr>
            <w:r>
              <w:rPr>
                <w:rFonts w:hint="eastAsia"/>
                <w:color w:val="000000"/>
                <w:sz w:val="23"/>
              </w:rPr>
              <w:t>背包壳体</w:t>
            </w:r>
          </w:p>
        </w:tc>
        <w:tc>
          <w:tcPr>
            <w:tcW w:w="4219" w:type="dxa"/>
          </w:tcPr>
          <w:p w14:paraId="78522B6B">
            <w:pPr>
              <w:spacing w:line="400" w:lineRule="auto"/>
              <w:ind w:firstLine="460"/>
              <w:rPr>
                <w:rFonts w:hint="eastAsia"/>
                <w:color w:val="000000"/>
                <w:sz w:val="23"/>
              </w:rPr>
            </w:pPr>
            <w:r>
              <w:rPr>
                <w:color w:val="000000"/>
                <w:sz w:val="23"/>
              </w:rPr>
              <w:t>材质：铝合金；成型工艺：高精度3D打印（层厚≤0.05mm）；外观：精细打磨+表面喷漆，无层纹；</w:t>
            </w:r>
            <w:r>
              <w:rPr>
                <w:sz w:val="23"/>
              </w:rPr>
              <w:t>上装外部尺寸≤206mm×188mm×60mm；壳体尺寸≤165mm×115mm×60mm</w:t>
            </w:r>
            <w:r>
              <w:rPr>
                <w:color w:val="000000"/>
                <w:sz w:val="23"/>
              </w:rPr>
              <w:t>；壁厚均匀，预留散热孔及接口开窗。</w:t>
            </w:r>
          </w:p>
        </w:tc>
      </w:tr>
      <w:tr w14:paraId="3C739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781E3623">
            <w:pPr>
              <w:spacing w:line="400" w:lineRule="auto"/>
              <w:ind w:firstLine="460"/>
              <w:rPr>
                <w:rFonts w:hint="eastAsia"/>
                <w:color w:val="000000"/>
                <w:sz w:val="23"/>
              </w:rPr>
            </w:pPr>
            <w:r>
              <w:rPr>
                <w:color w:val="000000"/>
                <w:sz w:val="23"/>
              </w:rPr>
              <w:t>3</w:t>
            </w:r>
          </w:p>
        </w:tc>
        <w:tc>
          <w:tcPr>
            <w:tcW w:w="2505" w:type="dxa"/>
          </w:tcPr>
          <w:p w14:paraId="3A0FCADC">
            <w:pPr>
              <w:spacing w:line="400" w:lineRule="auto"/>
              <w:ind w:firstLine="460"/>
              <w:rPr>
                <w:rFonts w:hint="eastAsia"/>
                <w:color w:val="000000"/>
                <w:sz w:val="23"/>
              </w:rPr>
            </w:pPr>
            <w:r>
              <w:rPr>
                <w:color w:val="000000"/>
                <w:sz w:val="23"/>
              </w:rPr>
              <w:t>AI算力模组</w:t>
            </w:r>
          </w:p>
        </w:tc>
        <w:tc>
          <w:tcPr>
            <w:tcW w:w="4219" w:type="dxa"/>
          </w:tcPr>
          <w:p w14:paraId="0AE6345D">
            <w:pPr>
              <w:spacing w:line="400" w:lineRule="auto"/>
              <w:ind w:firstLine="460"/>
              <w:rPr>
                <w:rFonts w:hint="eastAsia"/>
                <w:color w:val="000000"/>
                <w:sz w:val="23"/>
              </w:rPr>
            </w:pPr>
            <w:r>
              <w:rPr>
                <w:color w:val="000000"/>
                <w:sz w:val="23"/>
              </w:rPr>
              <w:t>AI加速器架构：具备不少于1024个AI加速核心；AI算力≥</w:t>
            </w:r>
            <w:r>
              <w:rPr>
                <w:rFonts w:hint="eastAsia"/>
                <w:color w:val="000000"/>
                <w:sz w:val="23"/>
              </w:rPr>
              <w:t>78</w:t>
            </w:r>
            <w:r>
              <w:rPr>
                <w:color w:val="000000"/>
                <w:sz w:val="23"/>
              </w:rPr>
              <w:t xml:space="preserve"> TOPS；CPU：≥8核Arm架构，主频≥2.0GHz；内存：≥16GB LPDDR5；存储：支持外部NVMe SSD；功率范围：10W~40W可配置；视频编码：支持≥1路4K60或≥3路4K30。</w:t>
            </w:r>
            <w:r>
              <w:rPr>
                <w:rFonts w:hint="eastAsia"/>
                <w:color w:val="000000"/>
                <w:sz w:val="23"/>
              </w:rPr>
              <w:t>支持动态调频。</w:t>
            </w:r>
          </w:p>
        </w:tc>
      </w:tr>
      <w:tr w14:paraId="77392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387A771B">
            <w:pPr>
              <w:spacing w:line="400" w:lineRule="auto"/>
              <w:ind w:firstLine="460"/>
              <w:rPr>
                <w:rFonts w:hint="eastAsia"/>
                <w:color w:val="000000"/>
                <w:sz w:val="23"/>
              </w:rPr>
            </w:pPr>
            <w:r>
              <w:rPr>
                <w:color w:val="000000"/>
                <w:sz w:val="23"/>
              </w:rPr>
              <w:t>4</w:t>
            </w:r>
          </w:p>
        </w:tc>
        <w:tc>
          <w:tcPr>
            <w:tcW w:w="2505" w:type="dxa"/>
          </w:tcPr>
          <w:p w14:paraId="4D381808">
            <w:pPr>
              <w:spacing w:line="400" w:lineRule="auto"/>
              <w:ind w:firstLine="460"/>
              <w:rPr>
                <w:rFonts w:hint="eastAsia"/>
                <w:color w:val="000000"/>
                <w:sz w:val="23"/>
              </w:rPr>
            </w:pPr>
            <w:r>
              <w:rPr>
                <w:color w:val="000000"/>
                <w:sz w:val="23"/>
              </w:rPr>
              <w:t>无线麦克风系统</w:t>
            </w:r>
          </w:p>
        </w:tc>
        <w:tc>
          <w:tcPr>
            <w:tcW w:w="4219" w:type="dxa"/>
          </w:tcPr>
          <w:p w14:paraId="7BFEC0D8">
            <w:pPr>
              <w:spacing w:line="400" w:lineRule="auto"/>
              <w:ind w:firstLine="460"/>
              <w:rPr>
                <w:rFonts w:hint="eastAsia"/>
                <w:color w:val="000000"/>
                <w:sz w:val="23"/>
              </w:rPr>
            </w:pPr>
            <w:r>
              <w:rPr>
                <w:color w:val="000000"/>
                <w:sz w:val="23"/>
              </w:rPr>
              <w:t>发射器尺寸≤46×32×23mm，重量≤30g；接收器尺寸≤55×30×25mm，重量≤30g；电池容量≥350mAh，续航≥6h；无线传输距离≥150m（视距）；全指向拾音，信噪比≥80dBA，支持低切滤波及3.5mm监听输出。</w:t>
            </w:r>
          </w:p>
        </w:tc>
      </w:tr>
      <w:tr w14:paraId="399FD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675187AC">
            <w:pPr>
              <w:spacing w:line="400" w:lineRule="auto"/>
              <w:ind w:firstLine="460"/>
              <w:rPr>
                <w:rFonts w:hint="eastAsia"/>
                <w:color w:val="000000"/>
                <w:sz w:val="23"/>
              </w:rPr>
            </w:pPr>
            <w:r>
              <w:rPr>
                <w:color w:val="000000"/>
                <w:sz w:val="23"/>
              </w:rPr>
              <w:t>5</w:t>
            </w:r>
          </w:p>
        </w:tc>
        <w:tc>
          <w:tcPr>
            <w:tcW w:w="2505" w:type="dxa"/>
          </w:tcPr>
          <w:p w14:paraId="3DCEC09A">
            <w:pPr>
              <w:spacing w:line="400" w:lineRule="auto"/>
              <w:ind w:firstLine="460"/>
              <w:rPr>
                <w:rFonts w:hint="eastAsia"/>
                <w:color w:val="000000"/>
                <w:sz w:val="23"/>
              </w:rPr>
            </w:pPr>
            <w:r>
              <w:rPr>
                <w:color w:val="000000"/>
                <w:sz w:val="23"/>
              </w:rPr>
              <w:t>深度相机</w:t>
            </w:r>
          </w:p>
        </w:tc>
        <w:tc>
          <w:tcPr>
            <w:tcW w:w="4219" w:type="dxa"/>
          </w:tcPr>
          <w:p w14:paraId="3FBFBC19">
            <w:pPr>
              <w:spacing w:line="400" w:lineRule="auto"/>
              <w:ind w:firstLine="460"/>
              <w:rPr>
                <w:rFonts w:hint="eastAsia"/>
                <w:color w:val="000000"/>
                <w:sz w:val="23"/>
              </w:rPr>
            </w:pPr>
            <w:r>
              <w:rPr>
                <w:rFonts w:hint="eastAsia"/>
                <w:color w:val="000000"/>
                <w:sz w:val="23"/>
              </w:rPr>
              <w:t>具备深度感知能力</w:t>
            </w:r>
            <w:r>
              <w:rPr>
                <w:color w:val="000000"/>
                <w:sz w:val="23"/>
              </w:rPr>
              <w:t>；深度分辨率≥640×480@30fps；RGB分辨率≥1920×1080@30fps；深度视场角≥85°×58°；工作距离0.2m~10m；内置IMU。</w:t>
            </w:r>
          </w:p>
        </w:tc>
      </w:tr>
      <w:tr w14:paraId="51595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432165CF">
            <w:pPr>
              <w:spacing w:line="400" w:lineRule="auto"/>
              <w:ind w:firstLine="460"/>
              <w:rPr>
                <w:rFonts w:hint="eastAsia"/>
                <w:color w:val="000000"/>
                <w:sz w:val="23"/>
              </w:rPr>
            </w:pPr>
            <w:r>
              <w:rPr>
                <w:color w:val="000000"/>
                <w:sz w:val="23"/>
              </w:rPr>
              <w:t>6</w:t>
            </w:r>
          </w:p>
        </w:tc>
        <w:tc>
          <w:tcPr>
            <w:tcW w:w="2505" w:type="dxa"/>
          </w:tcPr>
          <w:p w14:paraId="734B7F40">
            <w:pPr>
              <w:spacing w:line="400" w:lineRule="auto"/>
              <w:ind w:firstLine="460"/>
              <w:rPr>
                <w:rFonts w:hint="eastAsia"/>
                <w:color w:val="000000"/>
                <w:sz w:val="23"/>
              </w:rPr>
            </w:pPr>
            <w:r>
              <w:rPr>
                <w:color w:val="000000"/>
                <w:sz w:val="23"/>
              </w:rPr>
              <w:t>5G CPE</w:t>
            </w:r>
          </w:p>
        </w:tc>
        <w:tc>
          <w:tcPr>
            <w:tcW w:w="4219" w:type="dxa"/>
          </w:tcPr>
          <w:p w14:paraId="325DBE46">
            <w:pPr>
              <w:spacing w:line="400" w:lineRule="auto"/>
              <w:ind w:firstLine="460"/>
              <w:rPr>
                <w:rFonts w:hint="eastAsia"/>
                <w:color w:val="000000"/>
                <w:sz w:val="23"/>
              </w:rPr>
            </w:pPr>
            <w:r>
              <w:rPr>
                <w:color w:val="000000"/>
                <w:sz w:val="23"/>
              </w:rPr>
              <w:t>支持5G NR Sub-6GHz，向下兼容4G；芯片平台性能不低于市场主流5G模组；WiFi协议：WiFi 6（802.11ax），2.4GHz/5GHz双频；接口：Type-C（支持充电+数据）；电池容量≥5000mAh，续航≥8h。</w:t>
            </w:r>
          </w:p>
        </w:tc>
      </w:tr>
      <w:tr w14:paraId="7B8A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6CAC6E1D">
            <w:pPr>
              <w:spacing w:line="400" w:lineRule="auto"/>
              <w:ind w:firstLine="460"/>
              <w:rPr>
                <w:rFonts w:hint="eastAsia"/>
                <w:color w:val="000000"/>
                <w:sz w:val="23"/>
              </w:rPr>
            </w:pPr>
            <w:r>
              <w:rPr>
                <w:color w:val="000000"/>
                <w:sz w:val="23"/>
              </w:rPr>
              <w:t>7</w:t>
            </w:r>
          </w:p>
        </w:tc>
        <w:tc>
          <w:tcPr>
            <w:tcW w:w="2505" w:type="dxa"/>
          </w:tcPr>
          <w:p w14:paraId="2E094DFD">
            <w:pPr>
              <w:spacing w:line="400" w:lineRule="auto"/>
              <w:ind w:firstLine="460"/>
              <w:rPr>
                <w:rFonts w:hint="eastAsia"/>
                <w:color w:val="000000"/>
                <w:sz w:val="23"/>
              </w:rPr>
            </w:pPr>
            <w:r>
              <w:rPr>
                <w:color w:val="000000"/>
                <w:sz w:val="23"/>
              </w:rPr>
              <w:t>平板电脑</w:t>
            </w:r>
          </w:p>
        </w:tc>
        <w:tc>
          <w:tcPr>
            <w:tcW w:w="4219" w:type="dxa"/>
          </w:tcPr>
          <w:p w14:paraId="3601BBB3">
            <w:pPr>
              <w:spacing w:line="400" w:lineRule="auto"/>
              <w:ind w:firstLine="460"/>
              <w:rPr>
                <w:rFonts w:hint="eastAsia"/>
                <w:color w:val="000000"/>
                <w:sz w:val="23"/>
              </w:rPr>
            </w:pPr>
            <w:r>
              <w:rPr>
                <w:color w:val="000000"/>
                <w:sz w:val="23"/>
              </w:rPr>
              <w:t>处理器：≥8核，主频≥2.4GHz；屏幕：≥11英寸LCD，分辨率≥2560×1600，刷新率≥90Hz，亮度≥500nits；内存≥6GB；存储≥128GB，支持TF卡扩展（最大2TB）；电池≥7000mAh；摄像头：前置≥500W，后置≥800W；支持WiFi 6、蓝牙5.2；接口：USB Type-C、3.5mm耳机孔。</w:t>
            </w:r>
          </w:p>
        </w:tc>
      </w:tr>
      <w:tr w14:paraId="26C37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10F1B528">
            <w:pPr>
              <w:spacing w:line="400" w:lineRule="auto"/>
              <w:ind w:firstLine="460"/>
              <w:rPr>
                <w:rFonts w:hint="eastAsia"/>
                <w:color w:val="000000"/>
                <w:sz w:val="23"/>
              </w:rPr>
            </w:pPr>
            <w:r>
              <w:rPr>
                <w:rFonts w:hint="eastAsia"/>
                <w:color w:val="000000"/>
                <w:sz w:val="23"/>
              </w:rPr>
              <w:t>8</w:t>
            </w:r>
          </w:p>
        </w:tc>
        <w:tc>
          <w:tcPr>
            <w:tcW w:w="2505" w:type="dxa"/>
          </w:tcPr>
          <w:p w14:paraId="23BF8897">
            <w:pPr>
              <w:spacing w:line="400" w:lineRule="auto"/>
              <w:ind w:firstLine="460"/>
              <w:rPr>
                <w:rFonts w:hint="eastAsia"/>
                <w:color w:val="000000"/>
                <w:sz w:val="23"/>
              </w:rPr>
            </w:pPr>
            <w:r>
              <w:rPr>
                <w:color w:val="000000"/>
                <w:sz w:val="23"/>
              </w:rPr>
              <w:t>配套耗材</w:t>
            </w:r>
          </w:p>
        </w:tc>
        <w:tc>
          <w:tcPr>
            <w:tcW w:w="4219" w:type="dxa"/>
          </w:tcPr>
          <w:p w14:paraId="05E7C028">
            <w:pPr>
              <w:spacing w:line="400" w:lineRule="auto"/>
              <w:ind w:firstLine="460"/>
              <w:rPr>
                <w:rFonts w:hint="eastAsia"/>
                <w:color w:val="000000"/>
                <w:sz w:val="23"/>
              </w:rPr>
            </w:pPr>
            <w:r>
              <w:rPr>
                <w:color w:val="000000"/>
                <w:sz w:val="23"/>
              </w:rPr>
              <w:t>包含：功放板（USB免驱，带回声消除）、4Ω≥6W音腔喇叭、XT30电源连接线、弯头USB3.0软排线（≥2条）、USB3.0 AM/AF转接线、Type-C 90°弯头转接头等，满足套件与机器人本体的电气与通信连接。</w:t>
            </w:r>
          </w:p>
        </w:tc>
      </w:tr>
      <w:tr w14:paraId="06590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33444509">
            <w:pPr>
              <w:spacing w:line="400" w:lineRule="auto"/>
              <w:ind w:firstLine="460"/>
              <w:rPr>
                <w:rFonts w:hint="eastAsia"/>
                <w:color w:val="000000"/>
                <w:sz w:val="23"/>
              </w:rPr>
            </w:pPr>
            <w:r>
              <w:rPr>
                <w:rFonts w:hint="eastAsia"/>
                <w:color w:val="000000"/>
                <w:sz w:val="23"/>
              </w:rPr>
              <w:t>9</w:t>
            </w:r>
          </w:p>
        </w:tc>
        <w:tc>
          <w:tcPr>
            <w:tcW w:w="2505" w:type="dxa"/>
          </w:tcPr>
          <w:p w14:paraId="5D194B9A">
            <w:pPr>
              <w:spacing w:line="400" w:lineRule="auto"/>
              <w:ind w:firstLine="460"/>
              <w:rPr>
                <w:rFonts w:hint="eastAsia"/>
                <w:color w:val="000000"/>
                <w:sz w:val="23"/>
              </w:rPr>
            </w:pPr>
            <w:r>
              <w:rPr>
                <w:color w:val="000000"/>
                <w:sz w:val="23"/>
              </w:rPr>
              <w:t>语音交互能力</w:t>
            </w:r>
          </w:p>
        </w:tc>
        <w:tc>
          <w:tcPr>
            <w:tcW w:w="4219" w:type="dxa"/>
          </w:tcPr>
          <w:p w14:paraId="2E762AEA">
            <w:pPr>
              <w:spacing w:line="400" w:lineRule="auto"/>
              <w:ind w:firstLine="460"/>
              <w:rPr>
                <w:rFonts w:hint="eastAsia"/>
                <w:color w:val="000000"/>
                <w:sz w:val="23"/>
              </w:rPr>
            </w:pPr>
            <w:r>
              <w:rPr>
                <w:color w:val="000000"/>
                <w:sz w:val="23"/>
              </w:rPr>
              <w:t>支持降噪唤醒、离线/在线语音识别、语义理解、TTS合成播报；端到端交互时延≤2秒；支持通过语音调用机器人动作（如前进、后退、展示动作）及导航控制；支持人脸识别及自定义VIP迎宾。</w:t>
            </w:r>
          </w:p>
        </w:tc>
      </w:tr>
      <w:tr w14:paraId="11487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21C4C46D">
            <w:pPr>
              <w:spacing w:line="400" w:lineRule="auto"/>
              <w:ind w:firstLine="460"/>
              <w:rPr>
                <w:rFonts w:hint="eastAsia"/>
                <w:color w:val="000000"/>
                <w:sz w:val="23"/>
              </w:rPr>
            </w:pPr>
            <w:r>
              <w:rPr>
                <w:rFonts w:hint="eastAsia"/>
                <w:color w:val="000000"/>
                <w:sz w:val="23"/>
              </w:rPr>
              <w:t>10</w:t>
            </w:r>
          </w:p>
        </w:tc>
        <w:tc>
          <w:tcPr>
            <w:tcW w:w="2505" w:type="dxa"/>
          </w:tcPr>
          <w:p w14:paraId="14B04E76">
            <w:pPr>
              <w:spacing w:line="400" w:lineRule="auto"/>
              <w:ind w:firstLine="460"/>
              <w:rPr>
                <w:rFonts w:hint="eastAsia"/>
                <w:color w:val="000000"/>
                <w:sz w:val="23"/>
              </w:rPr>
            </w:pPr>
            <w:r>
              <w:rPr>
                <w:color w:val="000000"/>
                <w:sz w:val="23"/>
              </w:rPr>
              <w:t>自主导航与避障</w:t>
            </w:r>
          </w:p>
        </w:tc>
        <w:tc>
          <w:tcPr>
            <w:tcW w:w="4219" w:type="dxa"/>
          </w:tcPr>
          <w:p w14:paraId="4ABEB592">
            <w:pPr>
              <w:spacing w:line="400" w:lineRule="auto"/>
              <w:ind w:firstLine="460"/>
              <w:rPr>
                <w:rFonts w:hint="eastAsia"/>
                <w:color w:val="000000"/>
                <w:sz w:val="23"/>
              </w:rPr>
            </w:pPr>
            <w:r>
              <w:rPr>
                <w:color w:val="000000"/>
                <w:sz w:val="23"/>
              </w:rPr>
              <w:t>支持未知环境下的SLAM建图、自主路径规划及任务执行；动态障碍物避障响应时间≤500ms；低矮障碍物识别：可识别距离1m、高度0.2m及距离0.5m、高度0.8m的障碍物并绕行。</w:t>
            </w:r>
          </w:p>
        </w:tc>
      </w:tr>
      <w:tr w14:paraId="4C559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2526F404">
            <w:pPr>
              <w:spacing w:line="400" w:lineRule="auto"/>
              <w:ind w:firstLine="460"/>
              <w:rPr>
                <w:rFonts w:hint="eastAsia"/>
                <w:color w:val="000000"/>
                <w:sz w:val="23"/>
              </w:rPr>
            </w:pPr>
            <w:r>
              <w:rPr>
                <w:color w:val="000000"/>
                <w:sz w:val="23"/>
              </w:rPr>
              <w:t>1</w:t>
            </w:r>
            <w:r>
              <w:rPr>
                <w:rFonts w:hint="eastAsia"/>
                <w:color w:val="000000"/>
                <w:sz w:val="23"/>
              </w:rPr>
              <w:t>1</w:t>
            </w:r>
          </w:p>
        </w:tc>
        <w:tc>
          <w:tcPr>
            <w:tcW w:w="2505" w:type="dxa"/>
          </w:tcPr>
          <w:p w14:paraId="626BFDD1">
            <w:pPr>
              <w:spacing w:line="400" w:lineRule="auto"/>
              <w:ind w:firstLine="460"/>
              <w:rPr>
                <w:rFonts w:hint="eastAsia"/>
                <w:color w:val="000000"/>
                <w:sz w:val="23"/>
              </w:rPr>
            </w:pPr>
            <w:r>
              <w:rPr>
                <w:color w:val="000000"/>
                <w:sz w:val="23"/>
              </w:rPr>
              <w:t>快速部署</w:t>
            </w:r>
          </w:p>
        </w:tc>
        <w:tc>
          <w:tcPr>
            <w:tcW w:w="4219" w:type="dxa"/>
          </w:tcPr>
          <w:p w14:paraId="71A6B525">
            <w:pPr>
              <w:spacing w:line="400" w:lineRule="auto"/>
              <w:ind w:firstLine="460"/>
              <w:rPr>
                <w:color w:val="000000"/>
                <w:sz w:val="23"/>
              </w:rPr>
            </w:pPr>
            <w:r>
              <w:rPr>
                <w:color w:val="000000"/>
                <w:sz w:val="23"/>
              </w:rPr>
              <w:t>自套件物理安装完成（上电并连接机器人）至机器人具备基础导览功能（语音唤醒、定点导航、避障）的整体部署时间≤5分钟。</w:t>
            </w:r>
          </w:p>
          <w:p w14:paraId="63F515E3">
            <w:pPr>
              <w:spacing w:line="400" w:lineRule="auto"/>
              <w:ind w:firstLine="460"/>
              <w:rPr>
                <w:rFonts w:hint="eastAsia"/>
                <w:color w:val="000000"/>
                <w:sz w:val="23"/>
              </w:rPr>
            </w:pPr>
            <w:r>
              <w:rPr>
                <w:rFonts w:hint="eastAsia"/>
                <w:color w:val="000000"/>
                <w:sz w:val="23"/>
              </w:rPr>
              <w:t>设备快速组装：将套装各配件组装成一个完整背包的时间≤5分钟。</w:t>
            </w:r>
          </w:p>
        </w:tc>
      </w:tr>
      <w:tr w14:paraId="01B6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09F2C321">
            <w:pPr>
              <w:spacing w:line="400" w:lineRule="auto"/>
              <w:ind w:firstLine="460"/>
              <w:rPr>
                <w:rFonts w:hint="eastAsia"/>
                <w:color w:val="000000"/>
                <w:sz w:val="23"/>
              </w:rPr>
            </w:pPr>
            <w:r>
              <w:rPr>
                <w:rFonts w:hint="eastAsia"/>
                <w:color w:val="000000"/>
                <w:sz w:val="23"/>
              </w:rPr>
              <w:t>12</w:t>
            </w:r>
          </w:p>
        </w:tc>
        <w:tc>
          <w:tcPr>
            <w:tcW w:w="2505" w:type="dxa"/>
          </w:tcPr>
          <w:p w14:paraId="41347678">
            <w:pPr>
              <w:spacing w:line="400" w:lineRule="auto"/>
              <w:ind w:firstLine="460"/>
              <w:rPr>
                <w:rFonts w:hint="eastAsia"/>
                <w:color w:val="000000"/>
                <w:sz w:val="23"/>
              </w:rPr>
            </w:pPr>
            <w:r>
              <w:rPr>
                <w:color w:val="000000"/>
                <w:sz w:val="23"/>
              </w:rPr>
              <w:t>接口与供电</w:t>
            </w:r>
          </w:p>
        </w:tc>
        <w:tc>
          <w:tcPr>
            <w:tcW w:w="4219" w:type="dxa"/>
          </w:tcPr>
          <w:p w14:paraId="14B1BD40">
            <w:pPr>
              <w:spacing w:line="400" w:lineRule="auto"/>
              <w:ind w:firstLine="460"/>
              <w:rPr>
                <w:rFonts w:hint="eastAsia"/>
                <w:color w:val="000000"/>
                <w:sz w:val="23"/>
              </w:rPr>
            </w:pPr>
            <w:r>
              <w:rPr>
                <w:color w:val="000000"/>
                <w:sz w:val="23"/>
              </w:rPr>
              <w:t>与机器人本体的通信接口至少包括</w:t>
            </w:r>
            <w:r>
              <w:rPr>
                <w:rFonts w:hint="eastAsia"/>
                <w:color w:val="000000"/>
                <w:sz w:val="23"/>
              </w:rPr>
              <w:t>：</w:t>
            </w:r>
            <w:r>
              <w:rPr>
                <w:sz w:val="23"/>
              </w:rPr>
              <w:t>2个 Type</w:t>
            </w:r>
            <w:r>
              <w:rPr>
                <w:rFonts w:hint="eastAsia"/>
                <w:sz w:val="23"/>
              </w:rPr>
              <w:t>-</w:t>
            </w:r>
            <w:r>
              <w:rPr>
                <w:sz w:val="23"/>
              </w:rPr>
              <w:t>C</w:t>
            </w:r>
            <w:r>
              <w:rPr>
                <w:rFonts w:hint="eastAsia"/>
                <w:sz w:val="23"/>
              </w:rPr>
              <w:t>接口</w:t>
            </w:r>
            <w:r>
              <w:rPr>
                <w:color w:val="000000"/>
                <w:sz w:val="23"/>
              </w:rPr>
              <w:t>、1个千兆以太网口、1个HDMI输出；提供明确的电源输入接口（电压、电流、功率标识），支持机器人本体供电或独立供电。</w:t>
            </w:r>
          </w:p>
        </w:tc>
      </w:tr>
    </w:tbl>
    <w:p w14:paraId="3FAC91B4">
      <w:pPr>
        <w:pStyle w:val="6"/>
        <w:spacing w:before="240" w:after="240" w:line="240" w:lineRule="auto"/>
        <w:rPr>
          <w:rFonts w:hint="eastAsia" w:ascii="宋体" w:hAnsi="宋体" w:eastAsia="宋体" w:cs="宋体"/>
          <w:color w:val="0F1115"/>
          <w:shd w:val="clear" w:color="auto" w:fill="FFFFFF"/>
        </w:rPr>
      </w:pPr>
      <w:r>
        <w:rPr>
          <w:rFonts w:ascii="宋体" w:hAnsi="宋体" w:eastAsia="宋体" w:cs="宋体"/>
          <w:color w:val="0F1115"/>
          <w:shd w:val="clear" w:color="auto" w:fill="FFFFFF"/>
        </w:rPr>
        <w:t>3.1.</w:t>
      </w:r>
      <w:r>
        <w:rPr>
          <w:rFonts w:hint="eastAsia" w:ascii="宋体" w:hAnsi="宋体" w:eastAsia="宋体" w:cs="宋体"/>
          <w:color w:val="0F1115"/>
          <w:shd w:val="clear" w:color="auto" w:fill="FFFFFF"/>
        </w:rPr>
        <w:t xml:space="preserve">2 </w:t>
      </w:r>
      <w:r>
        <w:rPr>
          <w:rFonts w:ascii="宋体" w:hAnsi="宋体" w:eastAsia="宋体" w:cs="宋体"/>
          <w:color w:val="0F1115"/>
          <w:shd w:val="clear" w:color="auto" w:fill="FFFFFF"/>
        </w:rPr>
        <w:t xml:space="preserve"> </w:t>
      </w:r>
      <w:r>
        <w:rPr>
          <w:rFonts w:hint="eastAsia" w:ascii="宋体" w:hAnsi="宋体" w:eastAsia="宋体" w:cs="宋体"/>
          <w:color w:val="0F1115"/>
          <w:shd w:val="clear" w:color="auto" w:fill="FFFFFF"/>
        </w:rPr>
        <w:t>算力拓展包（基础版）</w:t>
      </w:r>
    </w:p>
    <w:p w14:paraId="5A5E7F55">
      <w:pPr>
        <w:pStyle w:val="58"/>
        <w:spacing w:line="360" w:lineRule="auto"/>
        <w:ind w:firstLine="480"/>
        <w:rPr>
          <w:rFonts w:hint="eastAsia" w:ascii="宋体" w:hAnsi="宋体" w:cs="宋体"/>
        </w:rPr>
      </w:pPr>
      <w:r>
        <w:rPr>
          <w:rFonts w:hint="eastAsia" w:ascii="宋体" w:hAnsi="宋体" w:cs="宋体"/>
        </w:rPr>
        <w:t>该型号主要用于展厅自主导览、基础语音交互及轻量级算法演示，预估数量70套。规格参数要求如下：</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7"/>
        <w:gridCol w:w="2505"/>
        <w:gridCol w:w="4219"/>
      </w:tblGrid>
      <w:tr w14:paraId="3EECD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7647C1A8">
            <w:pPr>
              <w:spacing w:line="400" w:lineRule="auto"/>
              <w:ind w:firstLine="460"/>
              <w:rPr>
                <w:rFonts w:hint="eastAsia"/>
                <w:color w:val="000000"/>
                <w:sz w:val="23"/>
              </w:rPr>
            </w:pPr>
            <w:r>
              <w:rPr>
                <w:color w:val="000000"/>
                <w:sz w:val="23"/>
              </w:rPr>
              <w:t>序号</w:t>
            </w:r>
          </w:p>
        </w:tc>
        <w:tc>
          <w:tcPr>
            <w:tcW w:w="2505" w:type="dxa"/>
          </w:tcPr>
          <w:p w14:paraId="39DD4BCF">
            <w:pPr>
              <w:spacing w:line="400" w:lineRule="auto"/>
              <w:ind w:firstLine="460"/>
              <w:rPr>
                <w:rFonts w:hint="eastAsia"/>
                <w:color w:val="000000"/>
                <w:sz w:val="23"/>
              </w:rPr>
            </w:pPr>
            <w:r>
              <w:rPr>
                <w:color w:val="000000"/>
                <w:sz w:val="23"/>
              </w:rPr>
              <w:t>要求类型</w:t>
            </w:r>
          </w:p>
        </w:tc>
        <w:tc>
          <w:tcPr>
            <w:tcW w:w="4219" w:type="dxa"/>
          </w:tcPr>
          <w:p w14:paraId="79B20EC0">
            <w:pPr>
              <w:spacing w:line="400" w:lineRule="auto"/>
              <w:ind w:firstLine="460"/>
              <w:rPr>
                <w:rFonts w:hint="eastAsia"/>
                <w:color w:val="000000"/>
                <w:sz w:val="23"/>
              </w:rPr>
            </w:pPr>
            <w:r>
              <w:rPr>
                <w:color w:val="000000"/>
                <w:sz w:val="23"/>
              </w:rPr>
              <w:t>规格参数要求</w:t>
            </w:r>
          </w:p>
        </w:tc>
      </w:tr>
      <w:tr w14:paraId="528D8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1E35232F">
            <w:pPr>
              <w:spacing w:line="400" w:lineRule="auto"/>
              <w:ind w:firstLine="460"/>
              <w:rPr>
                <w:rFonts w:hint="eastAsia"/>
                <w:color w:val="000000"/>
                <w:sz w:val="23"/>
              </w:rPr>
            </w:pPr>
            <w:r>
              <w:rPr>
                <w:color w:val="000000"/>
                <w:sz w:val="23"/>
              </w:rPr>
              <w:t>1</w:t>
            </w:r>
          </w:p>
        </w:tc>
        <w:tc>
          <w:tcPr>
            <w:tcW w:w="2505" w:type="dxa"/>
          </w:tcPr>
          <w:p w14:paraId="7793782B">
            <w:pPr>
              <w:spacing w:line="400" w:lineRule="auto"/>
              <w:ind w:firstLine="460"/>
              <w:rPr>
                <w:rFonts w:hint="eastAsia"/>
                <w:color w:val="000000"/>
                <w:sz w:val="23"/>
              </w:rPr>
            </w:pPr>
            <w:r>
              <w:rPr>
                <w:color w:val="000000"/>
                <w:sz w:val="23"/>
              </w:rPr>
              <w:t>集成与部署</w:t>
            </w:r>
          </w:p>
        </w:tc>
        <w:tc>
          <w:tcPr>
            <w:tcW w:w="4219" w:type="dxa"/>
          </w:tcPr>
          <w:p w14:paraId="1F386BD5">
            <w:pPr>
              <w:spacing w:line="400" w:lineRule="auto"/>
              <w:ind w:firstLine="460"/>
              <w:rPr>
                <w:rFonts w:hint="eastAsia"/>
                <w:color w:val="000000"/>
                <w:sz w:val="23"/>
              </w:rPr>
            </w:pPr>
            <w:r>
              <w:rPr>
                <w:color w:val="000000"/>
                <w:sz w:val="23"/>
              </w:rPr>
              <w:t>支持即插即用及免结构改造部署，可直接集成至现有机器人本体，无需对机械、电气结构进行改造。</w:t>
            </w:r>
          </w:p>
        </w:tc>
      </w:tr>
      <w:tr w14:paraId="17FB1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1A69BD7D">
            <w:pPr>
              <w:spacing w:line="400" w:lineRule="auto"/>
              <w:ind w:firstLine="460"/>
              <w:rPr>
                <w:rFonts w:hint="eastAsia"/>
                <w:color w:val="000000"/>
                <w:sz w:val="23"/>
              </w:rPr>
            </w:pPr>
            <w:r>
              <w:rPr>
                <w:rFonts w:hint="eastAsia"/>
                <w:color w:val="000000"/>
                <w:sz w:val="23"/>
              </w:rPr>
              <w:t>2</w:t>
            </w:r>
          </w:p>
        </w:tc>
        <w:tc>
          <w:tcPr>
            <w:tcW w:w="2505" w:type="dxa"/>
          </w:tcPr>
          <w:p w14:paraId="6597345B">
            <w:pPr>
              <w:spacing w:line="400" w:lineRule="auto"/>
              <w:ind w:firstLine="460"/>
              <w:rPr>
                <w:rFonts w:hint="eastAsia"/>
                <w:color w:val="000000"/>
                <w:sz w:val="23"/>
              </w:rPr>
            </w:pPr>
            <w:r>
              <w:rPr>
                <w:rFonts w:hint="eastAsia"/>
                <w:color w:val="000000"/>
                <w:sz w:val="23"/>
              </w:rPr>
              <w:t>背包壳体</w:t>
            </w:r>
          </w:p>
        </w:tc>
        <w:tc>
          <w:tcPr>
            <w:tcW w:w="4219" w:type="dxa"/>
          </w:tcPr>
          <w:p w14:paraId="74C07FFD">
            <w:pPr>
              <w:spacing w:line="400" w:lineRule="auto"/>
              <w:ind w:firstLine="460"/>
              <w:rPr>
                <w:rFonts w:hint="eastAsia"/>
                <w:color w:val="000000"/>
                <w:sz w:val="23"/>
              </w:rPr>
            </w:pPr>
            <w:r>
              <w:rPr>
                <w:color w:val="000000"/>
                <w:sz w:val="23"/>
              </w:rPr>
              <w:t>材质：铝合金；成型工艺：高精度3D打印（层厚≤0.05mm）；外观：精细打磨+表面喷漆，无层纹</w:t>
            </w:r>
            <w:r>
              <w:rPr>
                <w:rFonts w:hint="eastAsia"/>
                <w:color w:val="000000"/>
                <w:sz w:val="23"/>
              </w:rPr>
              <w:t>；</w:t>
            </w:r>
            <w:r>
              <w:rPr>
                <w:sz w:val="23"/>
              </w:rPr>
              <w:t xml:space="preserve">上装外部尺寸≤206mm×188mm×60mm；壳体尺寸≤165mm×115mm×60mm </w:t>
            </w:r>
            <w:r>
              <w:rPr>
                <w:rFonts w:hint="eastAsia"/>
                <w:sz w:val="23"/>
              </w:rPr>
              <w:t>；</w:t>
            </w:r>
            <w:r>
              <w:rPr>
                <w:color w:val="000000"/>
                <w:sz w:val="23"/>
              </w:rPr>
              <w:t>壁厚均匀，预留散热孔及接口开窗。</w:t>
            </w:r>
          </w:p>
        </w:tc>
      </w:tr>
      <w:tr w14:paraId="5E055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162A182A">
            <w:pPr>
              <w:spacing w:line="400" w:lineRule="auto"/>
              <w:ind w:firstLine="460"/>
              <w:rPr>
                <w:rFonts w:hint="eastAsia"/>
                <w:color w:val="000000"/>
                <w:sz w:val="23"/>
              </w:rPr>
            </w:pPr>
            <w:r>
              <w:rPr>
                <w:color w:val="000000"/>
                <w:sz w:val="23"/>
              </w:rPr>
              <w:t>3</w:t>
            </w:r>
          </w:p>
        </w:tc>
        <w:tc>
          <w:tcPr>
            <w:tcW w:w="2505" w:type="dxa"/>
          </w:tcPr>
          <w:p w14:paraId="67EDB41C">
            <w:pPr>
              <w:spacing w:line="400" w:lineRule="auto"/>
              <w:ind w:firstLine="460"/>
              <w:rPr>
                <w:rFonts w:hint="eastAsia"/>
                <w:color w:val="000000"/>
                <w:sz w:val="23"/>
              </w:rPr>
            </w:pPr>
            <w:r>
              <w:rPr>
                <w:color w:val="000000"/>
                <w:sz w:val="23"/>
              </w:rPr>
              <w:t>AI算力模组</w:t>
            </w:r>
          </w:p>
        </w:tc>
        <w:tc>
          <w:tcPr>
            <w:tcW w:w="4219" w:type="dxa"/>
          </w:tcPr>
          <w:p w14:paraId="2523807F">
            <w:pPr>
              <w:spacing w:line="400" w:lineRule="auto"/>
              <w:ind w:firstLine="460"/>
              <w:rPr>
                <w:rFonts w:hint="eastAsia"/>
                <w:color w:val="000000"/>
                <w:sz w:val="23"/>
              </w:rPr>
            </w:pPr>
            <w:r>
              <w:rPr>
                <w:color w:val="000000"/>
                <w:sz w:val="23"/>
              </w:rPr>
              <w:t>AI加速器架构：具备不少于1024个AI加速核心</w:t>
            </w:r>
            <w:r>
              <w:rPr>
                <w:rFonts w:hint="eastAsia"/>
                <w:color w:val="000000"/>
                <w:sz w:val="23"/>
              </w:rPr>
              <w:t>；</w:t>
            </w:r>
            <w:r>
              <w:rPr>
                <w:color w:val="000000"/>
                <w:sz w:val="23"/>
              </w:rPr>
              <w:t>AI算力≥40 TOPS ；CPU：≥6核Arm架构，主频≥1.5GHz；内存：≥8GB LPDDR5；功率范围：7W~15W。</w:t>
            </w:r>
            <w:r>
              <w:rPr>
                <w:rFonts w:hint="eastAsia"/>
                <w:color w:val="000000"/>
                <w:sz w:val="23"/>
              </w:rPr>
              <w:t>支持动态调频。</w:t>
            </w:r>
          </w:p>
        </w:tc>
      </w:tr>
      <w:tr w14:paraId="62585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0E19B62E">
            <w:pPr>
              <w:spacing w:line="400" w:lineRule="auto"/>
              <w:ind w:firstLine="460"/>
              <w:rPr>
                <w:rFonts w:hint="eastAsia"/>
                <w:color w:val="000000"/>
                <w:sz w:val="23"/>
              </w:rPr>
            </w:pPr>
            <w:r>
              <w:rPr>
                <w:color w:val="000000"/>
                <w:sz w:val="23"/>
              </w:rPr>
              <w:t>4</w:t>
            </w:r>
          </w:p>
        </w:tc>
        <w:tc>
          <w:tcPr>
            <w:tcW w:w="2505" w:type="dxa"/>
          </w:tcPr>
          <w:p w14:paraId="0B6EB045">
            <w:pPr>
              <w:spacing w:line="400" w:lineRule="auto"/>
              <w:ind w:firstLine="460"/>
              <w:rPr>
                <w:rFonts w:hint="eastAsia"/>
                <w:color w:val="000000"/>
                <w:sz w:val="23"/>
              </w:rPr>
            </w:pPr>
            <w:r>
              <w:rPr>
                <w:color w:val="000000"/>
                <w:sz w:val="23"/>
              </w:rPr>
              <w:t>无线麦克风系统</w:t>
            </w:r>
          </w:p>
        </w:tc>
        <w:tc>
          <w:tcPr>
            <w:tcW w:w="4219" w:type="dxa"/>
          </w:tcPr>
          <w:p w14:paraId="306D0B54">
            <w:pPr>
              <w:spacing w:line="400" w:lineRule="auto"/>
              <w:ind w:firstLine="460"/>
              <w:rPr>
                <w:rFonts w:hint="eastAsia"/>
                <w:color w:val="000000"/>
                <w:sz w:val="23"/>
              </w:rPr>
            </w:pPr>
            <w:r>
              <w:rPr>
                <w:color w:val="000000"/>
                <w:sz w:val="23"/>
              </w:rPr>
              <w:t>发射器尺寸≤50×35×27mm，重量≤40g；接收器尺寸≤60×35×28mm，重量≤35g；电池容量≥300mAh，续航≥5h；全指向拾音，支持基础降噪</w:t>
            </w:r>
            <w:r>
              <w:rPr>
                <w:rFonts w:hint="eastAsia"/>
                <w:color w:val="000000"/>
                <w:sz w:val="23"/>
              </w:rPr>
              <w:t>。</w:t>
            </w:r>
          </w:p>
        </w:tc>
      </w:tr>
      <w:tr w14:paraId="29328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72AF8A84">
            <w:pPr>
              <w:spacing w:line="400" w:lineRule="auto"/>
              <w:ind w:firstLine="460"/>
              <w:rPr>
                <w:rFonts w:hint="eastAsia"/>
                <w:color w:val="000000"/>
                <w:sz w:val="23"/>
              </w:rPr>
            </w:pPr>
            <w:r>
              <w:rPr>
                <w:color w:val="000000"/>
                <w:sz w:val="23"/>
              </w:rPr>
              <w:t>5</w:t>
            </w:r>
          </w:p>
        </w:tc>
        <w:tc>
          <w:tcPr>
            <w:tcW w:w="2505" w:type="dxa"/>
          </w:tcPr>
          <w:p w14:paraId="5361E5BC">
            <w:pPr>
              <w:spacing w:line="400" w:lineRule="auto"/>
              <w:ind w:firstLine="460"/>
              <w:rPr>
                <w:rFonts w:hint="eastAsia"/>
                <w:color w:val="000000"/>
                <w:sz w:val="23"/>
              </w:rPr>
            </w:pPr>
            <w:r>
              <w:rPr>
                <w:rFonts w:hint="eastAsia"/>
                <w:color w:val="000000"/>
                <w:sz w:val="23"/>
              </w:rPr>
              <w:t>视觉感知模组</w:t>
            </w:r>
          </w:p>
        </w:tc>
        <w:tc>
          <w:tcPr>
            <w:tcW w:w="4219" w:type="dxa"/>
          </w:tcPr>
          <w:p w14:paraId="6DB739D5">
            <w:pPr>
              <w:spacing w:line="400" w:lineRule="auto"/>
              <w:ind w:firstLine="460"/>
              <w:rPr>
                <w:rFonts w:hint="eastAsia"/>
                <w:color w:val="000000"/>
                <w:sz w:val="23"/>
              </w:rPr>
            </w:pPr>
            <w:r>
              <w:rPr>
                <w:color w:val="000000"/>
                <w:sz w:val="23"/>
              </w:rPr>
              <w:t>高清广角相机，分辨率≥1920×1080@30fps</w:t>
            </w:r>
            <w:r>
              <w:rPr>
                <w:rFonts w:hint="eastAsia"/>
                <w:color w:val="000000"/>
                <w:sz w:val="23"/>
              </w:rPr>
              <w:t xml:space="preserve"> </w:t>
            </w:r>
            <w:r>
              <w:rPr>
                <w:color w:val="000000"/>
                <w:sz w:val="23"/>
              </w:rPr>
              <w:t>；支持基础障碍物识别。</w:t>
            </w:r>
          </w:p>
        </w:tc>
      </w:tr>
      <w:tr w14:paraId="0E3BB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12679292">
            <w:pPr>
              <w:spacing w:line="400" w:lineRule="auto"/>
              <w:ind w:firstLine="460"/>
              <w:rPr>
                <w:rFonts w:hint="eastAsia"/>
                <w:color w:val="000000"/>
                <w:sz w:val="23"/>
              </w:rPr>
            </w:pPr>
            <w:r>
              <w:rPr>
                <w:color w:val="000000"/>
                <w:sz w:val="23"/>
              </w:rPr>
              <w:t>6</w:t>
            </w:r>
          </w:p>
        </w:tc>
        <w:tc>
          <w:tcPr>
            <w:tcW w:w="2505" w:type="dxa"/>
          </w:tcPr>
          <w:p w14:paraId="2A6EAE54">
            <w:pPr>
              <w:spacing w:line="400" w:lineRule="auto"/>
              <w:ind w:firstLine="460"/>
              <w:rPr>
                <w:rFonts w:hint="eastAsia"/>
                <w:color w:val="000000"/>
                <w:sz w:val="23"/>
              </w:rPr>
            </w:pPr>
            <w:r>
              <w:rPr>
                <w:color w:val="000000"/>
                <w:sz w:val="23"/>
              </w:rPr>
              <w:t>5G CPE</w:t>
            </w:r>
          </w:p>
        </w:tc>
        <w:tc>
          <w:tcPr>
            <w:tcW w:w="4219" w:type="dxa"/>
          </w:tcPr>
          <w:p w14:paraId="73228456">
            <w:pPr>
              <w:spacing w:line="400" w:lineRule="auto"/>
              <w:ind w:firstLine="460"/>
              <w:rPr>
                <w:rFonts w:hint="eastAsia"/>
                <w:color w:val="000000"/>
                <w:sz w:val="23"/>
              </w:rPr>
            </w:pPr>
            <w:r>
              <w:rPr>
                <w:color w:val="000000"/>
                <w:sz w:val="23"/>
              </w:rPr>
              <w:t>支持5G NR Sub-6GHz，向下兼容4G；芯片平台性能不低于市场主流5G模组；WiFi协议：WiFi 6（802.11ax），2.4GHz/5GHz双频；接口：Type-C（支持充电+数据）；电池容量≥5000mAh，续航≥8h</w:t>
            </w:r>
            <w:r>
              <w:rPr>
                <w:rFonts w:ascii="quote-cjk-patch" w:hAnsi="quote-cjk-patch" w:eastAsia="quote-cjk-patch" w:cs="quote-cjk-patch"/>
                <w:color w:val="0F1115"/>
                <w:sz w:val="23"/>
                <w:shd w:val="clear" w:color="auto" w:fill="FFFFFF"/>
              </w:rPr>
              <w:t>。</w:t>
            </w:r>
          </w:p>
        </w:tc>
      </w:tr>
      <w:tr w14:paraId="2E1A2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24DF8EF7">
            <w:pPr>
              <w:spacing w:line="400" w:lineRule="auto"/>
              <w:ind w:firstLine="460"/>
              <w:rPr>
                <w:rFonts w:hint="eastAsia"/>
                <w:color w:val="000000"/>
                <w:sz w:val="23"/>
              </w:rPr>
            </w:pPr>
            <w:r>
              <w:rPr>
                <w:color w:val="000000"/>
                <w:sz w:val="23"/>
              </w:rPr>
              <w:t>7</w:t>
            </w:r>
          </w:p>
        </w:tc>
        <w:tc>
          <w:tcPr>
            <w:tcW w:w="2505" w:type="dxa"/>
          </w:tcPr>
          <w:p w14:paraId="2F7C5753">
            <w:pPr>
              <w:spacing w:line="400" w:lineRule="auto"/>
              <w:ind w:firstLine="460"/>
              <w:rPr>
                <w:rFonts w:hint="eastAsia"/>
                <w:color w:val="000000"/>
                <w:sz w:val="23"/>
              </w:rPr>
            </w:pPr>
            <w:r>
              <w:rPr>
                <w:color w:val="000000"/>
                <w:sz w:val="23"/>
              </w:rPr>
              <w:t>平板电脑</w:t>
            </w:r>
          </w:p>
        </w:tc>
        <w:tc>
          <w:tcPr>
            <w:tcW w:w="4219" w:type="dxa"/>
          </w:tcPr>
          <w:p w14:paraId="502ECA77">
            <w:pPr>
              <w:spacing w:line="400" w:lineRule="auto"/>
              <w:ind w:firstLine="460"/>
              <w:rPr>
                <w:rFonts w:hint="eastAsia"/>
                <w:color w:val="000000"/>
                <w:sz w:val="23"/>
              </w:rPr>
            </w:pPr>
            <w:r>
              <w:rPr>
                <w:color w:val="000000"/>
                <w:sz w:val="23"/>
              </w:rPr>
              <w:t>处理器：≥8核，主频≥2.4GHz；屏幕：≥11英寸LCD，分辨率≥2560×1600，刷新率≥90Hz，亮度≥500nits；内存≥6GB；存储≥128GB，支持TF卡扩展（最大2TB）；电池≥7000mAh；摄像头：前置≥500W，后置≥800W；支持WiFi 6、蓝牙5.2；接口：USB Type-C、3.5mm耳机孔。</w:t>
            </w:r>
          </w:p>
        </w:tc>
      </w:tr>
      <w:tr w14:paraId="0E2BF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3BD97102">
            <w:pPr>
              <w:spacing w:line="400" w:lineRule="auto"/>
              <w:ind w:firstLine="460"/>
              <w:rPr>
                <w:rFonts w:hint="eastAsia"/>
                <w:color w:val="000000"/>
                <w:sz w:val="23"/>
              </w:rPr>
            </w:pPr>
            <w:r>
              <w:rPr>
                <w:rFonts w:hint="eastAsia"/>
                <w:color w:val="000000"/>
                <w:sz w:val="23"/>
              </w:rPr>
              <w:t>8</w:t>
            </w:r>
          </w:p>
        </w:tc>
        <w:tc>
          <w:tcPr>
            <w:tcW w:w="2505" w:type="dxa"/>
          </w:tcPr>
          <w:p w14:paraId="1FD13CC9">
            <w:pPr>
              <w:spacing w:line="400" w:lineRule="auto"/>
              <w:ind w:firstLine="460"/>
              <w:rPr>
                <w:rFonts w:hint="eastAsia"/>
                <w:color w:val="000000"/>
                <w:sz w:val="23"/>
              </w:rPr>
            </w:pPr>
            <w:r>
              <w:rPr>
                <w:color w:val="000000"/>
                <w:sz w:val="23"/>
              </w:rPr>
              <w:t>配套耗材</w:t>
            </w:r>
          </w:p>
        </w:tc>
        <w:tc>
          <w:tcPr>
            <w:tcW w:w="4219" w:type="dxa"/>
          </w:tcPr>
          <w:p w14:paraId="3915A371">
            <w:pPr>
              <w:spacing w:line="400" w:lineRule="auto"/>
              <w:ind w:firstLine="460"/>
              <w:rPr>
                <w:rFonts w:hint="eastAsia"/>
                <w:color w:val="000000"/>
                <w:sz w:val="23"/>
              </w:rPr>
            </w:pPr>
            <w:r>
              <w:rPr>
                <w:color w:val="000000"/>
                <w:sz w:val="23"/>
              </w:rPr>
              <w:t>包含：功放板（USB免驱，带回声消除）、4Ω≥6W音腔喇叭、XT30电源连接线、弯头USB3.0软排线（≥2条）、USB3.0 AM/AF转接线、Type-C 90°弯头转接头等，满足套件与机器人本体的电气与通信连接。</w:t>
            </w:r>
          </w:p>
        </w:tc>
      </w:tr>
      <w:tr w14:paraId="3A743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47BA0E5F">
            <w:pPr>
              <w:spacing w:line="400" w:lineRule="auto"/>
              <w:ind w:firstLine="460"/>
              <w:rPr>
                <w:rFonts w:hint="eastAsia"/>
                <w:color w:val="000000"/>
                <w:sz w:val="23"/>
              </w:rPr>
            </w:pPr>
            <w:r>
              <w:rPr>
                <w:rFonts w:hint="eastAsia"/>
                <w:color w:val="000000"/>
                <w:sz w:val="23"/>
              </w:rPr>
              <w:t>9</w:t>
            </w:r>
          </w:p>
        </w:tc>
        <w:tc>
          <w:tcPr>
            <w:tcW w:w="2505" w:type="dxa"/>
          </w:tcPr>
          <w:p w14:paraId="47C63977">
            <w:pPr>
              <w:spacing w:line="400" w:lineRule="auto"/>
              <w:ind w:firstLine="460"/>
              <w:rPr>
                <w:rFonts w:hint="eastAsia"/>
                <w:color w:val="000000"/>
                <w:sz w:val="23"/>
              </w:rPr>
            </w:pPr>
            <w:r>
              <w:rPr>
                <w:color w:val="000000"/>
                <w:sz w:val="23"/>
              </w:rPr>
              <w:t>语音交互能力</w:t>
            </w:r>
          </w:p>
        </w:tc>
        <w:tc>
          <w:tcPr>
            <w:tcW w:w="4219" w:type="dxa"/>
          </w:tcPr>
          <w:p w14:paraId="1A9753BD">
            <w:pPr>
              <w:spacing w:line="400" w:lineRule="auto"/>
              <w:ind w:firstLine="460"/>
              <w:rPr>
                <w:rFonts w:hint="eastAsia"/>
                <w:color w:val="000000"/>
                <w:sz w:val="23"/>
              </w:rPr>
            </w:pPr>
            <w:r>
              <w:rPr>
                <w:color w:val="000000"/>
                <w:sz w:val="23"/>
              </w:rPr>
              <w:t>支持降噪唤醒、离线/在线语音识别、语义理解、TTS合成播报；端到端交互时延≤2秒；支持通过语音调用机器人动作（如前进、后退、展示动作）及导航控制；支持人脸识别及自定义VIP迎宾。</w:t>
            </w:r>
          </w:p>
        </w:tc>
      </w:tr>
      <w:tr w14:paraId="1827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170B3CD8">
            <w:pPr>
              <w:spacing w:line="400" w:lineRule="auto"/>
              <w:ind w:firstLine="460"/>
              <w:rPr>
                <w:rFonts w:hint="eastAsia"/>
                <w:color w:val="000000"/>
                <w:sz w:val="23"/>
              </w:rPr>
            </w:pPr>
            <w:r>
              <w:rPr>
                <w:rFonts w:hint="eastAsia"/>
                <w:color w:val="000000"/>
                <w:sz w:val="23"/>
              </w:rPr>
              <w:t>10</w:t>
            </w:r>
          </w:p>
        </w:tc>
        <w:tc>
          <w:tcPr>
            <w:tcW w:w="2505" w:type="dxa"/>
          </w:tcPr>
          <w:p w14:paraId="2529F3C0">
            <w:pPr>
              <w:spacing w:line="400" w:lineRule="auto"/>
              <w:ind w:firstLine="460"/>
              <w:rPr>
                <w:rFonts w:hint="eastAsia"/>
                <w:color w:val="000000"/>
                <w:sz w:val="23"/>
              </w:rPr>
            </w:pPr>
            <w:r>
              <w:rPr>
                <w:color w:val="000000"/>
                <w:sz w:val="23"/>
              </w:rPr>
              <w:t>自主导航与避障</w:t>
            </w:r>
          </w:p>
        </w:tc>
        <w:tc>
          <w:tcPr>
            <w:tcW w:w="4219" w:type="dxa"/>
          </w:tcPr>
          <w:p w14:paraId="5578D8F3">
            <w:pPr>
              <w:spacing w:line="400" w:lineRule="auto"/>
              <w:ind w:firstLine="460"/>
              <w:rPr>
                <w:rFonts w:hint="eastAsia"/>
                <w:color w:val="000000"/>
                <w:sz w:val="23"/>
              </w:rPr>
            </w:pPr>
            <w:r>
              <w:rPr>
                <w:color w:val="000000"/>
                <w:sz w:val="23"/>
              </w:rPr>
              <w:t>支持未知环境下的SLAM建图、自主路径规划及任务执行；动态障碍物避障响应时间≤500ms；低矮障碍物识别：可识别距离1m、高度0.2m及距离0.5m、高度0.8m的障碍物并绕行。</w:t>
            </w:r>
          </w:p>
        </w:tc>
      </w:tr>
      <w:tr w14:paraId="608EC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4B98CC55">
            <w:pPr>
              <w:spacing w:line="400" w:lineRule="auto"/>
              <w:ind w:firstLine="460"/>
              <w:rPr>
                <w:rFonts w:hint="eastAsia"/>
                <w:color w:val="000000"/>
                <w:sz w:val="23"/>
              </w:rPr>
            </w:pPr>
            <w:r>
              <w:rPr>
                <w:color w:val="000000"/>
                <w:sz w:val="23"/>
              </w:rPr>
              <w:t>1</w:t>
            </w:r>
            <w:r>
              <w:rPr>
                <w:rFonts w:hint="eastAsia"/>
                <w:color w:val="000000"/>
                <w:sz w:val="23"/>
              </w:rPr>
              <w:t>1</w:t>
            </w:r>
          </w:p>
        </w:tc>
        <w:tc>
          <w:tcPr>
            <w:tcW w:w="2505" w:type="dxa"/>
          </w:tcPr>
          <w:p w14:paraId="3FE3AFA5">
            <w:pPr>
              <w:spacing w:line="400" w:lineRule="auto"/>
              <w:ind w:firstLine="460"/>
              <w:rPr>
                <w:rFonts w:hint="eastAsia"/>
                <w:color w:val="000000"/>
                <w:sz w:val="23"/>
              </w:rPr>
            </w:pPr>
            <w:r>
              <w:rPr>
                <w:color w:val="000000"/>
                <w:sz w:val="23"/>
              </w:rPr>
              <w:t>快速部署</w:t>
            </w:r>
          </w:p>
        </w:tc>
        <w:tc>
          <w:tcPr>
            <w:tcW w:w="4219" w:type="dxa"/>
          </w:tcPr>
          <w:p w14:paraId="4C677F87">
            <w:pPr>
              <w:spacing w:line="400" w:lineRule="auto"/>
              <w:ind w:firstLine="460"/>
              <w:rPr>
                <w:color w:val="000000"/>
                <w:sz w:val="23"/>
              </w:rPr>
            </w:pPr>
            <w:r>
              <w:rPr>
                <w:color w:val="000000"/>
                <w:sz w:val="23"/>
              </w:rPr>
              <w:t>自套件物理安装完成（上电并连接机器人）至机器人具备基础导览功能（语音唤醒、定点导航、避障）的整体部署时间≤5分钟。</w:t>
            </w:r>
          </w:p>
          <w:p w14:paraId="1CD633D2">
            <w:pPr>
              <w:spacing w:line="400" w:lineRule="auto"/>
              <w:ind w:firstLine="460"/>
              <w:rPr>
                <w:rFonts w:hint="eastAsia"/>
                <w:color w:val="000000"/>
                <w:sz w:val="23"/>
              </w:rPr>
            </w:pPr>
            <w:r>
              <w:rPr>
                <w:rFonts w:hint="eastAsia"/>
                <w:color w:val="000000"/>
                <w:sz w:val="23"/>
              </w:rPr>
              <w:t>设备快速组装：将套装各配件组装成一个完整背包的时间≤5分钟。</w:t>
            </w:r>
          </w:p>
        </w:tc>
      </w:tr>
      <w:tr w14:paraId="2D8A3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tcPr>
          <w:p w14:paraId="5FAEA0E1">
            <w:pPr>
              <w:spacing w:line="400" w:lineRule="auto"/>
              <w:ind w:firstLine="460"/>
              <w:rPr>
                <w:rFonts w:hint="eastAsia"/>
                <w:color w:val="000000"/>
                <w:sz w:val="23"/>
              </w:rPr>
            </w:pPr>
            <w:r>
              <w:rPr>
                <w:rFonts w:hint="eastAsia"/>
                <w:color w:val="000000"/>
                <w:sz w:val="23"/>
              </w:rPr>
              <w:t>12</w:t>
            </w:r>
          </w:p>
        </w:tc>
        <w:tc>
          <w:tcPr>
            <w:tcW w:w="2505" w:type="dxa"/>
          </w:tcPr>
          <w:p w14:paraId="495EC0CA">
            <w:pPr>
              <w:spacing w:line="400" w:lineRule="auto"/>
              <w:ind w:firstLine="460"/>
              <w:rPr>
                <w:rFonts w:hint="eastAsia"/>
                <w:color w:val="000000"/>
                <w:sz w:val="23"/>
              </w:rPr>
            </w:pPr>
            <w:r>
              <w:rPr>
                <w:color w:val="000000"/>
                <w:sz w:val="23"/>
              </w:rPr>
              <w:t>接口与供电</w:t>
            </w:r>
          </w:p>
        </w:tc>
        <w:tc>
          <w:tcPr>
            <w:tcW w:w="4219" w:type="dxa"/>
          </w:tcPr>
          <w:p w14:paraId="5316D22F">
            <w:pPr>
              <w:spacing w:line="400" w:lineRule="auto"/>
              <w:ind w:firstLine="460"/>
              <w:rPr>
                <w:rFonts w:hint="eastAsia"/>
                <w:color w:val="000000"/>
                <w:sz w:val="23"/>
              </w:rPr>
            </w:pPr>
            <w:r>
              <w:rPr>
                <w:color w:val="000000"/>
                <w:sz w:val="23"/>
              </w:rPr>
              <w:t>与机器人本体的通信接口至少包括</w:t>
            </w:r>
            <w:r>
              <w:rPr>
                <w:rFonts w:hint="eastAsia"/>
                <w:color w:val="000000"/>
                <w:sz w:val="23"/>
              </w:rPr>
              <w:t>：</w:t>
            </w:r>
            <w:r>
              <w:rPr>
                <w:sz w:val="23"/>
              </w:rPr>
              <w:t>2个 Type</w:t>
            </w:r>
            <w:r>
              <w:rPr>
                <w:rFonts w:hint="eastAsia"/>
                <w:sz w:val="23"/>
              </w:rPr>
              <w:t>-</w:t>
            </w:r>
            <w:r>
              <w:rPr>
                <w:sz w:val="23"/>
              </w:rPr>
              <w:t>C</w:t>
            </w:r>
            <w:r>
              <w:rPr>
                <w:rFonts w:hint="eastAsia"/>
                <w:sz w:val="23"/>
              </w:rPr>
              <w:t>接口</w:t>
            </w:r>
            <w:r>
              <w:rPr>
                <w:color w:val="000000"/>
                <w:sz w:val="23"/>
              </w:rPr>
              <w:t>、1个千兆以太网口、1个HDMI输出；提供明确的电源输入接口（电压、电流、功率标识），支持机器人本体供电或独立供电。</w:t>
            </w:r>
          </w:p>
        </w:tc>
      </w:tr>
    </w:tbl>
    <w:p w14:paraId="2A41ECA7">
      <w:pPr>
        <w:pStyle w:val="58"/>
        <w:spacing w:line="360" w:lineRule="auto"/>
        <w:ind w:firstLine="480"/>
        <w:rPr>
          <w:rFonts w:hint="eastAsia" w:ascii="宋体" w:hAnsi="宋体" w:cs="宋体"/>
        </w:rPr>
      </w:pPr>
    </w:p>
    <w:p w14:paraId="3E209C6F">
      <w:pPr>
        <w:pStyle w:val="5"/>
        <w:spacing w:before="240" w:after="240" w:line="240" w:lineRule="auto"/>
        <w:rPr>
          <w:rFonts w:hint="eastAsia" w:ascii="宋体" w:hAnsi="宋体" w:eastAsia="宋体" w:cs="宋体"/>
        </w:rPr>
      </w:pPr>
      <w:r>
        <w:rPr>
          <w:rFonts w:hint="eastAsia" w:ascii="宋体" w:hAnsi="宋体" w:eastAsia="宋体" w:cs="宋体"/>
          <w:color w:val="0F1115"/>
          <w:shd w:val="clear" w:color="auto" w:fill="FFFFFF"/>
        </w:rPr>
        <w:t>3.2. 设备规格要求</w:t>
      </w:r>
    </w:p>
    <w:p w14:paraId="041E1908">
      <w:pPr>
        <w:pStyle w:val="58"/>
        <w:spacing w:line="360" w:lineRule="auto"/>
        <w:ind w:firstLine="420" w:firstLineChars="0"/>
        <w:rPr>
          <w:rFonts w:hint="eastAsia" w:ascii="宋体" w:hAnsi="宋体" w:cs="宋体"/>
        </w:rPr>
      </w:pPr>
      <w:r>
        <w:rPr>
          <w:rFonts w:hint="eastAsia" w:ascii="宋体" w:hAnsi="宋体" w:cs="宋体"/>
        </w:rPr>
        <w:t>基本规格符合性：所有设备必须严格满足章节3.1中列出的每一项技术参数。</w:t>
      </w:r>
    </w:p>
    <w:p w14:paraId="11B2FF0E">
      <w:pPr>
        <w:pStyle w:val="58"/>
        <w:spacing w:line="360" w:lineRule="auto"/>
        <w:ind w:firstLine="420" w:firstLineChars="0"/>
        <w:rPr>
          <w:rFonts w:hint="eastAsia" w:ascii="宋体" w:hAnsi="宋体" w:cs="宋体"/>
        </w:rPr>
      </w:pPr>
      <w:r>
        <w:rPr>
          <w:rFonts w:hint="eastAsia" w:ascii="宋体" w:hAnsi="宋体" w:cs="宋体"/>
        </w:rPr>
        <w:t>证明文件为产品文档：必须提供完整的产品规格说明书、用户手册。</w:t>
      </w:r>
    </w:p>
    <w:p w14:paraId="1AEF89F0">
      <w:pPr>
        <w:pStyle w:val="5"/>
        <w:spacing w:before="240" w:after="240" w:line="240" w:lineRule="auto"/>
        <w:rPr>
          <w:rFonts w:hint="eastAsia" w:ascii="宋体" w:hAnsi="宋体" w:eastAsia="宋体" w:cs="宋体"/>
        </w:rPr>
      </w:pPr>
      <w:r>
        <w:rPr>
          <w:rFonts w:hint="eastAsia" w:ascii="宋体" w:hAnsi="宋体" w:eastAsia="宋体" w:cs="宋体"/>
          <w:color w:val="0F1115"/>
          <w:shd w:val="clear" w:color="auto" w:fill="FFFFFF"/>
        </w:rPr>
        <w:t>3.3. 绿色节能</w:t>
      </w:r>
    </w:p>
    <w:p w14:paraId="728B8B75">
      <w:pPr>
        <w:pStyle w:val="58"/>
        <w:spacing w:line="360" w:lineRule="auto"/>
        <w:ind w:firstLine="420" w:firstLineChars="0"/>
        <w:rPr>
          <w:rFonts w:hint="eastAsia" w:ascii="宋体" w:hAnsi="宋体" w:cs="宋体"/>
        </w:rPr>
      </w:pPr>
      <w:r>
        <w:rPr>
          <w:rFonts w:hint="eastAsia" w:ascii="宋体" w:hAnsi="宋体" w:cs="宋体"/>
        </w:rPr>
        <w:t>在绿色节能方面，供应商应充分考虑产品的维修性和升级性，延长其使用寿命；对产品设计应考虑回收利用的空间。产品应采用可拆卸和可升级设计，便于拆解和回收；应采用可降解、可回收或使用环保材料的包装，减少不必要的包装材料使用。</w:t>
      </w:r>
    </w:p>
    <w:bookmarkEnd w:id="36"/>
    <w:bookmarkEnd w:id="37"/>
    <w:p w14:paraId="6E720E72">
      <w:pPr>
        <w:ind w:firstLine="480"/>
        <w:rPr>
          <w:rFonts w:hint="eastAsia"/>
        </w:rPr>
      </w:pPr>
      <w:bookmarkStart w:id="43" w:name="_Toc269302055"/>
      <w:bookmarkStart w:id="44" w:name="_Toc470578356"/>
      <w:bookmarkStart w:id="45" w:name="_Toc303882633"/>
      <w:bookmarkStart w:id="46" w:name="_Toc269300693"/>
      <w:bookmarkStart w:id="47" w:name="_Toc303882640"/>
      <w:bookmarkStart w:id="48" w:name="_Toc329873629"/>
      <w:bookmarkStart w:id="49" w:name="_Toc473452607"/>
      <w:bookmarkStart w:id="50" w:name="_Toc473453811"/>
      <w:bookmarkStart w:id="51" w:name="_Toc473948302"/>
      <w:bookmarkStart w:id="52" w:name="_Toc474200786"/>
      <w:bookmarkStart w:id="53" w:name="_Toc473452708"/>
      <w:bookmarkStart w:id="54" w:name="_Toc441034174"/>
      <w:bookmarkStart w:id="55" w:name="_Toc325287933"/>
      <w:bookmarkStart w:id="56" w:name="_Toc473457301"/>
      <w:bookmarkStart w:id="57" w:name="_Toc437403417"/>
      <w:bookmarkStart w:id="58" w:name="_Toc500310453"/>
      <w:bookmarkStart w:id="59" w:name="_Toc514597452"/>
      <w:bookmarkStart w:id="60" w:name="_Toc514912514"/>
      <w:bookmarkStart w:id="61" w:name="_Toc514912281"/>
      <w:bookmarkStart w:id="62" w:name="_Toc502473408"/>
      <w:bookmarkStart w:id="63" w:name="_Toc270839037"/>
      <w:bookmarkStart w:id="64" w:name="_Toc514597266"/>
      <w:bookmarkStart w:id="65" w:name="_Toc502473703"/>
      <w:bookmarkStart w:id="66" w:name="_Toc500482805"/>
      <w:bookmarkStart w:id="67" w:name="_Toc324423638"/>
      <w:bookmarkStart w:id="68" w:name="_Toc514912216"/>
    </w:p>
    <w:p w14:paraId="28A130DD">
      <w:pPr>
        <w:pStyle w:val="2"/>
        <w:numPr>
          <w:ilvl w:val="0"/>
          <w:numId w:val="1"/>
        </w:numPr>
        <w:spacing w:before="100" w:beforeAutospacing="1" w:after="100" w:afterAutospacing="1" w:line="360" w:lineRule="auto"/>
        <w:rPr>
          <w:rFonts w:hint="eastAsia" w:ascii="宋体" w:hAnsi="宋体" w:eastAsia="宋体" w:cs="宋体"/>
          <w:sz w:val="36"/>
          <w:lang w:eastAsia="zh-Hans"/>
        </w:rPr>
      </w:pPr>
      <w:bookmarkStart w:id="69" w:name="_Toc2072137378"/>
      <w:r>
        <w:rPr>
          <w:rFonts w:hint="eastAsia" w:ascii="宋体" w:hAnsi="宋体" w:eastAsia="宋体" w:cs="宋体"/>
          <w:sz w:val="36"/>
        </w:rPr>
        <w:t>服务要求</w:t>
      </w:r>
      <w:bookmarkEnd w:id="69"/>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4ADC5518">
      <w:pPr>
        <w:pStyle w:val="3"/>
        <w:numPr>
          <w:ilvl w:val="1"/>
          <w:numId w:val="1"/>
        </w:numPr>
      </w:pPr>
      <w:bookmarkStart w:id="70" w:name="_Toc670608647"/>
      <w:bookmarkStart w:id="71" w:name="_Toc269302056"/>
      <w:bookmarkStart w:id="72" w:name="_Toc453772607"/>
      <w:bookmarkStart w:id="73" w:name="_Toc329873632"/>
      <w:bookmarkStart w:id="74" w:name="_Toc269300694"/>
      <w:bookmarkStart w:id="75" w:name="_Toc303882642"/>
      <w:bookmarkStart w:id="76" w:name="_Toc350728853"/>
      <w:bookmarkStart w:id="77" w:name="_Toc132117443"/>
      <w:r>
        <w:rPr>
          <w:rFonts w:hint="eastAsia"/>
        </w:rPr>
        <w:t>培训</w:t>
      </w:r>
      <w:bookmarkEnd w:id="70"/>
    </w:p>
    <w:p w14:paraId="01B94626">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卖方需提供针对买方技术人员、操作人员及维护人员的全方位培训。</w:t>
      </w:r>
    </w:p>
    <w:p w14:paraId="3BC4DDC5">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培训内容：设备原理与结构、安全操作规程、日常维护保养、故障诊断与排除、基础编程与二次开发接口使用。</w:t>
      </w:r>
    </w:p>
    <w:p w14:paraId="0A7CB0BA">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培训对象与时间：提供不少于8学时的现场集中培训。</w:t>
      </w:r>
    </w:p>
    <w:p w14:paraId="6C949819">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交付物：提供完整的、中文编写的培训教材、操作手册及培训记录。</w:t>
      </w:r>
    </w:p>
    <w:p w14:paraId="1B9BF0B1">
      <w:pPr>
        <w:pStyle w:val="3"/>
        <w:numPr>
          <w:ilvl w:val="1"/>
          <w:numId w:val="1"/>
        </w:numPr>
      </w:pPr>
      <w:bookmarkStart w:id="78" w:name="_Toc925350673"/>
      <w:r>
        <w:rPr>
          <w:rFonts w:hint="eastAsia"/>
        </w:rPr>
        <w:t>系统安装、调试</w:t>
      </w:r>
      <w:bookmarkEnd w:id="78"/>
    </w:p>
    <w:p w14:paraId="486D88A6">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卖方负责所有套件在指定地点的安装、调试及与机器人本体的联调。</w:t>
      </w:r>
    </w:p>
    <w:p w14:paraId="2D2013AF">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负责完成套件与甲方现有机器人的通信联调、功能验证，确保套件可正常调用机器人运动、导航、语音交互等能力。</w:t>
      </w:r>
    </w:p>
    <w:p w14:paraId="429FF013">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负责提供安装调试所需的专用工具、测试仪器及耗材。</w:t>
      </w:r>
    </w:p>
    <w:p w14:paraId="0CC9D808">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安装调试过程须遵守现场安全规范，保持环境整洁。</w:t>
      </w:r>
    </w:p>
    <w:p w14:paraId="36715731">
      <w:pPr>
        <w:pStyle w:val="3"/>
        <w:numPr>
          <w:ilvl w:val="1"/>
          <w:numId w:val="1"/>
        </w:numPr>
      </w:pPr>
      <w:bookmarkStart w:id="79" w:name="_Toc919618646"/>
      <w:r>
        <w:rPr>
          <w:rFonts w:hint="eastAsia"/>
        </w:rPr>
        <w:t>验收</w:t>
      </w:r>
      <w:bookmarkEnd w:id="79"/>
    </w:p>
    <w:p w14:paraId="352AB3B1">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到货验收：货物运抵后5个工作日内，核对型号、数量、外观及配件，签署《到货验收单》。</w:t>
      </w:r>
    </w:p>
    <w:p w14:paraId="423C4C51">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竣工验收：安装调试完成后进入一个月观察期，设备运行稳定、培训完成、文档交付后，签署《最终验收报告》，质保期开始。</w:t>
      </w:r>
    </w:p>
    <w:p w14:paraId="1E48900D">
      <w:pPr>
        <w:pStyle w:val="3"/>
        <w:numPr>
          <w:ilvl w:val="1"/>
          <w:numId w:val="1"/>
        </w:numPr>
      </w:pPr>
      <w:bookmarkStart w:id="80" w:name="_Toc660115437"/>
      <w:r>
        <w:rPr>
          <w:rFonts w:hint="eastAsia"/>
        </w:rPr>
        <w:t>售后及技术服务要求</w:t>
      </w:r>
      <w:bookmarkEnd w:id="80"/>
    </w:p>
    <w:p w14:paraId="60CB0748">
      <w:pPr>
        <w:pStyle w:val="4"/>
      </w:pPr>
      <w:r>
        <w:rPr>
          <w:rFonts w:hint="eastAsia"/>
        </w:rPr>
        <w:t>4.4.1 售后与技术服务描述</w:t>
      </w:r>
    </w:p>
    <w:p w14:paraId="67E336B6">
      <w:pPr>
        <w:pStyle w:val="15"/>
        <w:numPr>
          <w:ilvl w:val="0"/>
          <w:numId w:val="2"/>
        </w:numPr>
        <w:autoSpaceDE w:val="0"/>
        <w:autoSpaceDN w:val="0"/>
        <w:adjustRightInd w:val="0"/>
        <w:spacing w:before="100" w:beforeAutospacing="1" w:after="0" w:line="360" w:lineRule="auto"/>
        <w:ind w:leftChars="0"/>
        <w:textAlignment w:val="baseline"/>
        <w:rPr>
          <w:rFonts w:hint="eastAsia"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乙方应根据甲方要求，在甲方要求的时间内完成套件使用前所需的技术支持、软件使用培训、测试培训等工作。</w:t>
      </w:r>
    </w:p>
    <w:p w14:paraId="12B6D0FE">
      <w:pPr>
        <w:pStyle w:val="15"/>
        <w:numPr>
          <w:ilvl w:val="0"/>
          <w:numId w:val="2"/>
        </w:numPr>
        <w:autoSpaceDE w:val="0"/>
        <w:autoSpaceDN w:val="0"/>
        <w:adjustRightInd w:val="0"/>
        <w:spacing w:before="100" w:beforeAutospacing="1" w:after="0" w:line="360" w:lineRule="auto"/>
        <w:ind w:leftChars="0"/>
        <w:textAlignment w:val="baseline"/>
        <w:rPr>
          <w:rFonts w:hint="eastAsia"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乙方应具备完善的研发体系、高效的研发管理流程，并配置合理的技术团队和资源，以保证其技术支撑能力满足用户需求。</w:t>
      </w:r>
    </w:p>
    <w:p w14:paraId="0A7C50D5">
      <w:pPr>
        <w:pStyle w:val="15"/>
        <w:numPr>
          <w:ilvl w:val="0"/>
          <w:numId w:val="2"/>
        </w:numPr>
        <w:autoSpaceDE w:val="0"/>
        <w:autoSpaceDN w:val="0"/>
        <w:adjustRightInd w:val="0"/>
        <w:spacing w:before="100" w:beforeAutospacing="1" w:after="0" w:line="360" w:lineRule="auto"/>
        <w:ind w:leftChars="0"/>
        <w:textAlignment w:val="baseline"/>
        <w:rPr>
          <w:rFonts w:hint="eastAsia"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乙方应按照甲方要求安排相关人员进行技术培训。</w:t>
      </w:r>
    </w:p>
    <w:p w14:paraId="5E35A377">
      <w:pPr>
        <w:pStyle w:val="15"/>
        <w:numPr>
          <w:ilvl w:val="0"/>
          <w:numId w:val="2"/>
        </w:numPr>
        <w:autoSpaceDE w:val="0"/>
        <w:autoSpaceDN w:val="0"/>
        <w:adjustRightInd w:val="0"/>
        <w:spacing w:before="100" w:beforeAutospacing="1" w:after="0" w:line="360" w:lineRule="auto"/>
        <w:ind w:leftChars="0"/>
        <w:textAlignment w:val="baseline"/>
        <w:rPr>
          <w:rFonts w:hint="eastAsia"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乙方应在后续服务过程中，按甲方要求进行产品升级与维护。</w:t>
      </w:r>
    </w:p>
    <w:p w14:paraId="4ACCECE3">
      <w:pPr>
        <w:pStyle w:val="15"/>
        <w:numPr>
          <w:ilvl w:val="0"/>
          <w:numId w:val="2"/>
        </w:numPr>
        <w:autoSpaceDE w:val="0"/>
        <w:autoSpaceDN w:val="0"/>
        <w:adjustRightInd w:val="0"/>
        <w:spacing w:before="100" w:beforeAutospacing="1" w:after="0" w:line="360" w:lineRule="auto"/>
        <w:ind w:leftChars="0"/>
        <w:textAlignment w:val="baseline"/>
        <w:rPr>
          <w:rFonts w:hint="eastAsia"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免费为甲方提供服务咨询。</w:t>
      </w:r>
    </w:p>
    <w:p w14:paraId="32A8A672">
      <w:pPr>
        <w:pStyle w:val="15"/>
        <w:numPr>
          <w:ilvl w:val="0"/>
          <w:numId w:val="2"/>
        </w:numPr>
        <w:autoSpaceDE w:val="0"/>
        <w:autoSpaceDN w:val="0"/>
        <w:adjustRightInd w:val="0"/>
        <w:spacing w:before="100" w:beforeAutospacing="1" w:after="0" w:line="360" w:lineRule="auto"/>
        <w:ind w:leftChars="0"/>
        <w:textAlignment w:val="baseline"/>
        <w:rPr>
          <w:rFonts w:hint="eastAsia"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乙方负责对甲方进行技术培训，并建立技术支持热线，实施7×24小时技术支持服务。</w:t>
      </w:r>
    </w:p>
    <w:p w14:paraId="0B061F0F">
      <w:pPr>
        <w:pStyle w:val="4"/>
      </w:pPr>
      <w:r>
        <w:rPr>
          <w:rFonts w:hint="eastAsia"/>
        </w:rPr>
        <w:t>4.4.2 质保与维修服务</w:t>
      </w:r>
    </w:p>
    <w:p w14:paraId="04E24C68">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1、质保期要求</w:t>
      </w:r>
    </w:p>
    <w:p w14:paraId="7899EFF8">
      <w:pPr>
        <w:spacing w:line="360" w:lineRule="auto"/>
        <w:ind w:firstLine="480"/>
        <w:rPr>
          <w:rFonts w:ascii="quote-cjk-patch" w:hAnsi="quote-cjk-patch" w:eastAsia="quote-cjk-patch" w:cs="quote-cjk-patch"/>
          <w:color w:val="0F1115"/>
          <w:shd w:val="clear" w:color="auto" w:fill="FFFFFF"/>
        </w:rPr>
      </w:pPr>
      <w:r>
        <w:rPr>
          <w:rFonts w:hint="eastAsia"/>
          <w:bCs/>
          <w:color w:val="000000" w:themeColor="text1"/>
          <w14:textFill>
            <w14:solidFill>
              <w14:schemeClr w14:val="tx1"/>
            </w14:solidFill>
          </w14:textFill>
        </w:rPr>
        <w:t>乙方须承诺，对本项目所供全部设备及配件（包括背包壳体、AI算力模组、深度相机/视觉模组、无线麦克风系统、5G CPE、平板电脑、配套耗材等），自项目最终验收合格之日起，提供12个月的免费保修服务。</w:t>
      </w:r>
    </w:p>
    <w:p w14:paraId="4497F428">
      <w:pPr>
        <w:spacing w:line="360" w:lineRule="auto"/>
        <w:ind w:firstLine="48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2、质保服务内容</w:t>
      </w:r>
    </w:p>
    <w:p w14:paraId="147E6E23">
      <w:pPr>
        <w:spacing w:line="360" w:lineRule="auto"/>
        <w:ind w:firstLine="480"/>
        <w:rPr>
          <w:rFonts w:hint="eastAsia"/>
          <w:bCs/>
          <w:color w:val="0D0D0D"/>
        </w:rPr>
      </w:pPr>
      <w:r>
        <w:rPr>
          <w:rFonts w:hint="eastAsia"/>
          <w:bCs/>
          <w:color w:val="000000" w:themeColor="text1"/>
          <w14:textFill>
            <w14:solidFill>
              <w14:schemeClr w14:val="tx1"/>
            </w14:solidFill>
          </w14:textFill>
        </w:rPr>
        <w:t>保修期内，乙方应对保修范围内非人为因素造成的任何故障、缺陷或性能下降，免费进行修理或更换部件。乙方应在接到甲方故障通知后，按照本规范书第4.4.4条款约定的时限响应并解决问题。若乙方未及时承担保修责任，甲方有权自行或委托第三方维修，所产生的一切费用由乙方承担。对因货物在保修期间发生的质量缺陷造成的甲方和/或第三人财产和/或人身损失，乙方应予以赔偿。</w:t>
      </w:r>
    </w:p>
    <w:p w14:paraId="5153F2C1">
      <w:pPr>
        <w:rPr>
          <w:rFonts w:hint="eastAsia"/>
        </w:rPr>
      </w:pPr>
    </w:p>
    <w:p w14:paraId="1C94BF3D">
      <w:pPr>
        <w:pStyle w:val="4"/>
      </w:pPr>
      <w:bookmarkStart w:id="81" w:name="_Toc988487062"/>
      <w:r>
        <w:rPr>
          <w:rFonts w:hint="eastAsia"/>
        </w:rPr>
        <w:t>4.4.3电话技术支持服务</w:t>
      </w:r>
      <w:bookmarkEnd w:id="81"/>
    </w:p>
    <w:p w14:paraId="11795AEF">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乙方应具备提供7×24小时甲方电话服务能力，用于受理甲方的合作业务咨询、经甲方转派或者最终甲方提出的设备维护服务请求，乙方应对服务人员进行必要的技能与流程培训，提供服务过程中的升级咨询渠道；</w:t>
      </w:r>
    </w:p>
    <w:p w14:paraId="77A23925">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乙方应视项目需求与约定，提供 “电话”维护服务渠道，可以是指定的上述官方客服电话或者维护责任人联系方式。</w:t>
      </w:r>
    </w:p>
    <w:p w14:paraId="257734BB">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乙方承诺一般故障4小时内响应、8小时内到达现场，24小时内处理完毕，且按需求方的售后处理要求及时妥当的处理售后问题，不产生售后升级投诉。</w:t>
      </w:r>
    </w:p>
    <w:p w14:paraId="692EC02D">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乙方服务人员应按照甲方提供的材料与方法，进行设备保修期判定、设备保修范围判定、设备故障初步判定、报修详细信息记录等工作。并能提供甲方需要的技术指导资料，指导甲方正常使用或进行故障恢复等。</w:t>
      </w:r>
    </w:p>
    <w:p w14:paraId="418F5ACF">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乙方应使用双方约定的信息系统或方式记录电话技术支持服务，并汇总上报给甲方。</w:t>
      </w:r>
    </w:p>
    <w:p w14:paraId="339B9696">
      <w:pPr>
        <w:pStyle w:val="4"/>
      </w:pPr>
      <w:bookmarkStart w:id="82" w:name="_Toc568557842"/>
      <w:r>
        <w:rPr>
          <w:rFonts w:hint="eastAsia"/>
        </w:rPr>
        <w:t>4.4.4设备故障修复服务（含远程技术支持、现场技术支持）</w:t>
      </w:r>
      <w:bookmarkEnd w:id="82"/>
    </w:p>
    <w:p w14:paraId="72ECB4BB">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乙方应保证产品的售后服务响应时间不超过24小时。</w:t>
      </w:r>
    </w:p>
    <w:p w14:paraId="7DDE6BA2">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乙方服务人员应对甲方申报的故障进行远程指导解决。</w:t>
      </w:r>
    </w:p>
    <w:p w14:paraId="58D40FE0">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乙方服务人员应配合甲方技术人员，进行故障信息的收集反馈、现场工作沟通等，推进故障修复。</w:t>
      </w:r>
    </w:p>
    <w:p w14:paraId="5A71DF1D">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远程无法解决，经协商需要现场解决的，乙方提供现场支持服务。在项目约定的到场时限、恢复时限内完成故障修复工作。</w:t>
      </w:r>
    </w:p>
    <w:p w14:paraId="5D893419">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如在该项目约定的修复时限内不能修复故障的，应在项目约定的换修时限内，提供不低于同档次备用设备，不影响甲方使用。</w:t>
      </w:r>
    </w:p>
    <w:p w14:paraId="73A097BE">
      <w:pPr>
        <w:pStyle w:val="4"/>
      </w:pPr>
      <w:bookmarkStart w:id="83" w:name="_Toc1596904991"/>
      <w:r>
        <w:rPr>
          <w:rFonts w:hint="eastAsia"/>
        </w:rPr>
        <w:t>4.4.5紧急事件的处理</w:t>
      </w:r>
      <w:bookmarkEnd w:id="83"/>
    </w:p>
    <w:p w14:paraId="72EA4D1B">
      <w:pPr>
        <w:pStyle w:val="15"/>
        <w:spacing w:after="0" w:line="360" w:lineRule="auto"/>
        <w:ind w:left="0" w:leftChars="0" w:firstLine="480" w:firstLineChars="200"/>
        <w:rPr>
          <w:rFonts w:hint="eastAsia" w:ascii="宋体" w:hAnsi="宋体"/>
          <w:kern w:val="0"/>
          <w:sz w:val="24"/>
          <w:szCs w:val="24"/>
        </w:rPr>
      </w:pPr>
      <w:r>
        <w:rPr>
          <w:rFonts w:hint="eastAsia" w:ascii="宋体" w:hAnsi="宋体"/>
          <w:kern w:val="0"/>
          <w:sz w:val="24"/>
          <w:szCs w:val="24"/>
        </w:rPr>
        <w:t>乙方应提供故障排除服务，须在接到故障报警后24小时内提供解决方案，如遇到非人为造成的硬件故障，乙方应免费提供更换服务。</w:t>
      </w:r>
    </w:p>
    <w:p w14:paraId="219CF308">
      <w:pPr>
        <w:pStyle w:val="4"/>
      </w:pPr>
      <w:bookmarkStart w:id="84" w:name="_Toc2079047178"/>
      <w:r>
        <w:rPr>
          <w:rFonts w:hint="eastAsia"/>
        </w:rPr>
        <w:t>4.4.6技术文件与培训服务</w:t>
      </w:r>
      <w:bookmarkEnd w:id="84"/>
    </w:p>
    <w:p w14:paraId="1D2434E1">
      <w:pPr>
        <w:pStyle w:val="15"/>
        <w:spacing w:after="0" w:line="360" w:lineRule="auto"/>
        <w:ind w:left="0" w:leftChars="0" w:firstLine="480" w:firstLineChars="200"/>
        <w:rPr>
          <w:rFonts w:hint="eastAsia" w:ascii="宋体" w:hAnsi="宋体"/>
          <w:kern w:val="0"/>
          <w:sz w:val="24"/>
          <w:szCs w:val="24"/>
        </w:rPr>
      </w:pPr>
      <w:r>
        <w:rPr>
          <w:rFonts w:hint="eastAsia" w:ascii="宋体" w:hAnsi="宋体" w:cs="宋体"/>
          <w:kern w:val="0"/>
          <w:sz w:val="24"/>
          <w:szCs w:val="24"/>
        </w:rPr>
        <w:t>乙方应按照甲方要求安排相关人员免费提供产品技术培训。其他服务还应包括免费的人员培训、现场测试培训、设备部署安装调试适配服务以及协助完成设备升级服务等。</w:t>
      </w:r>
    </w:p>
    <w:p w14:paraId="110D4D58">
      <w:pPr>
        <w:pStyle w:val="3"/>
        <w:numPr>
          <w:ilvl w:val="1"/>
          <w:numId w:val="1"/>
        </w:numPr>
      </w:pPr>
      <w:bookmarkStart w:id="85" w:name="_Toc839500309"/>
      <w:r>
        <w:rPr>
          <w:rFonts w:hint="eastAsia"/>
        </w:rPr>
        <w:t>供货要求</w:t>
      </w:r>
      <w:bookmarkEnd w:id="85"/>
      <w:bookmarkStart w:id="111" w:name="_GoBack"/>
      <w:bookmarkEnd w:id="111"/>
    </w:p>
    <w:p w14:paraId="465CE5E3">
      <w:pPr>
        <w:spacing w:line="360" w:lineRule="auto"/>
        <w:ind w:firstLine="480"/>
        <w:rPr>
          <w:rFonts w:hint="eastAsia"/>
        </w:rPr>
      </w:pPr>
      <w:r>
        <w:rPr>
          <w:rFonts w:hint="eastAsia"/>
        </w:rPr>
        <w:t>合同签订后，</w:t>
      </w:r>
      <w:r>
        <w:rPr>
          <w:b w:val="0"/>
          <w:bCs w:val="0"/>
          <w:color w:val="auto"/>
        </w:rPr>
        <w:t>卖方应在收到甲方订单起</w:t>
      </w:r>
      <w:r>
        <w:rPr>
          <w:rFonts w:hint="eastAsia"/>
          <w:b w:val="0"/>
          <w:bCs w:val="0"/>
          <w:color w:val="auto"/>
        </w:rPr>
        <w:t>15</w:t>
      </w:r>
      <w:r>
        <w:rPr>
          <w:b w:val="0"/>
          <w:bCs w:val="0"/>
          <w:color w:val="auto"/>
        </w:rPr>
        <w:t>天内</w:t>
      </w:r>
      <w:r>
        <w:rPr>
          <w:rFonts w:hint="eastAsia"/>
        </w:rPr>
        <w:t>完成全部设备的供货及安装调试准备工作。具体到货时间以买方通知为准。</w:t>
      </w:r>
    </w:p>
    <w:p w14:paraId="74EC02CA">
      <w:pPr>
        <w:spacing w:line="360" w:lineRule="auto"/>
        <w:ind w:firstLine="480"/>
        <w:rPr>
          <w:rFonts w:hint="eastAsia"/>
        </w:rPr>
      </w:pPr>
    </w:p>
    <w:bookmarkEnd w:id="71"/>
    <w:bookmarkEnd w:id="72"/>
    <w:bookmarkEnd w:id="73"/>
    <w:bookmarkEnd w:id="74"/>
    <w:bookmarkEnd w:id="75"/>
    <w:bookmarkEnd w:id="76"/>
    <w:bookmarkEnd w:id="77"/>
    <w:p w14:paraId="1D33EA9C">
      <w:pPr>
        <w:pStyle w:val="2"/>
        <w:numPr>
          <w:ilvl w:val="0"/>
          <w:numId w:val="1"/>
        </w:numPr>
        <w:spacing w:before="100" w:beforeAutospacing="1" w:after="100" w:afterAutospacing="1" w:line="360" w:lineRule="auto"/>
        <w:rPr>
          <w:rFonts w:hint="eastAsia" w:ascii="宋体" w:hAnsi="宋体" w:eastAsia="宋体" w:cs="宋体"/>
          <w:sz w:val="36"/>
        </w:rPr>
      </w:pPr>
      <w:bookmarkStart w:id="86" w:name="_Toc514132573"/>
      <w:bookmarkStart w:id="87" w:name="_Toc473452610"/>
      <w:bookmarkStart w:id="88" w:name="_Toc474200789"/>
      <w:bookmarkStart w:id="89" w:name="_Toc436809466"/>
      <w:bookmarkStart w:id="90" w:name="_Toc478198194"/>
      <w:bookmarkStart w:id="91" w:name="_Toc486943916"/>
      <w:bookmarkStart w:id="92" w:name="_Toc470578359"/>
      <w:bookmarkStart w:id="93" w:name="_Toc269302058"/>
      <w:bookmarkStart w:id="94" w:name="_Toc436810097"/>
      <w:bookmarkStart w:id="95" w:name="_Toc477428547"/>
      <w:bookmarkStart w:id="96" w:name="_Toc329873638"/>
      <w:bookmarkStart w:id="97" w:name="_Toc303882646"/>
      <w:bookmarkStart w:id="98" w:name="_Toc350728857"/>
      <w:bookmarkStart w:id="99" w:name="_Toc269300696"/>
      <w:bookmarkStart w:id="100" w:name="_Toc441034176"/>
      <w:r>
        <w:rPr>
          <w:rFonts w:hint="eastAsia" w:ascii="宋体" w:hAnsi="宋体" w:eastAsia="宋体" w:cs="宋体"/>
          <w:sz w:val="36"/>
        </w:rPr>
        <w:t>服务商管理机制</w:t>
      </w:r>
      <w:bookmarkEnd w:id="86"/>
    </w:p>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6BBC1373">
      <w:pPr>
        <w:pStyle w:val="33"/>
        <w:numPr>
          <w:ilvl w:val="0"/>
          <w:numId w:val="3"/>
        </w:numPr>
        <w:ind w:left="0" w:firstLine="480"/>
        <w:rPr>
          <w:rFonts w:hint="eastAsia" w:ascii="宋体" w:hAnsi="宋体"/>
        </w:rPr>
      </w:pPr>
      <w:bookmarkStart w:id="101" w:name="_Toc1052642034"/>
      <w:bookmarkStart w:id="102" w:name="_Toc458802272"/>
      <w:r>
        <w:rPr>
          <w:rFonts w:hint="eastAsia" w:ascii="宋体" w:hAnsi="宋体"/>
        </w:rPr>
        <w:t>合同签订后，创新研究院定期对服务商服务情况进行考核评估。</w:t>
      </w:r>
    </w:p>
    <w:p w14:paraId="29430622">
      <w:pPr>
        <w:pStyle w:val="33"/>
        <w:numPr>
          <w:ilvl w:val="0"/>
          <w:numId w:val="3"/>
        </w:numPr>
        <w:ind w:left="0" w:firstLine="480"/>
        <w:rPr>
          <w:rFonts w:hint="eastAsia" w:ascii="宋体" w:hAnsi="宋体"/>
        </w:rPr>
      </w:pPr>
      <w:r>
        <w:rPr>
          <w:rFonts w:hint="eastAsia" w:ascii="宋体" w:hAnsi="宋体"/>
        </w:rPr>
        <w:t>服务商在服务周期内发生以下情况的，创新研究院有权提前终止合同：</w:t>
      </w:r>
    </w:p>
    <w:p w14:paraId="0B4F1ACD">
      <w:pPr>
        <w:pStyle w:val="33"/>
        <w:numPr>
          <w:ilvl w:val="0"/>
          <w:numId w:val="4"/>
        </w:numPr>
        <w:ind w:left="420" w:leftChars="175" w:firstLine="480"/>
        <w:rPr>
          <w:rFonts w:hint="eastAsia" w:ascii="宋体" w:hAnsi="宋体"/>
        </w:rPr>
      </w:pPr>
      <w:r>
        <w:rPr>
          <w:rFonts w:hint="eastAsia" w:ascii="宋体" w:hAnsi="宋体"/>
        </w:rPr>
        <w:t>因不按创新研究院规定私自进行操作，造成创新研究院重大财产损失的（一次及以上）；</w:t>
      </w:r>
    </w:p>
    <w:p w14:paraId="74C3D2C8">
      <w:pPr>
        <w:pStyle w:val="33"/>
        <w:numPr>
          <w:ilvl w:val="0"/>
          <w:numId w:val="4"/>
        </w:numPr>
        <w:ind w:left="420" w:leftChars="175" w:firstLine="480"/>
        <w:rPr>
          <w:rFonts w:hint="eastAsia" w:ascii="宋体" w:hAnsi="宋体"/>
        </w:rPr>
      </w:pPr>
      <w:r>
        <w:rPr>
          <w:rFonts w:ascii="宋体" w:hAnsi="宋体"/>
        </w:rPr>
        <w:t>未得到</w:t>
      </w:r>
      <w:r>
        <w:rPr>
          <w:rFonts w:hint="eastAsia" w:ascii="宋体" w:hAnsi="宋体"/>
        </w:rPr>
        <w:t>创新研究院</w:t>
      </w:r>
      <w:r>
        <w:rPr>
          <w:rFonts w:ascii="宋体" w:hAnsi="宋体"/>
        </w:rPr>
        <w:t>许可，私自将服务人员调离此项目的（一次及以上）</w:t>
      </w:r>
      <w:r>
        <w:rPr>
          <w:rFonts w:hint="eastAsia" w:ascii="宋体" w:hAnsi="宋体"/>
        </w:rPr>
        <w:t>。</w:t>
      </w:r>
    </w:p>
    <w:bookmarkEnd w:id="58"/>
    <w:bookmarkEnd w:id="59"/>
    <w:bookmarkEnd w:id="60"/>
    <w:bookmarkEnd w:id="61"/>
    <w:bookmarkEnd w:id="62"/>
    <w:bookmarkEnd w:id="63"/>
    <w:bookmarkEnd w:id="64"/>
    <w:bookmarkEnd w:id="65"/>
    <w:bookmarkEnd w:id="66"/>
    <w:bookmarkEnd w:id="67"/>
    <w:bookmarkEnd w:id="68"/>
    <w:bookmarkEnd w:id="101"/>
    <w:bookmarkEnd w:id="102"/>
    <w:p w14:paraId="177A3839">
      <w:pPr>
        <w:pStyle w:val="2"/>
        <w:numPr>
          <w:ilvl w:val="0"/>
          <w:numId w:val="1"/>
        </w:numPr>
        <w:spacing w:before="100" w:beforeAutospacing="1" w:after="100" w:afterAutospacing="1" w:line="360" w:lineRule="auto"/>
        <w:rPr>
          <w:rFonts w:hint="eastAsia" w:ascii="宋体" w:hAnsi="宋体" w:eastAsia="宋体" w:cs="宋体"/>
          <w:sz w:val="36"/>
        </w:rPr>
      </w:pPr>
      <w:bookmarkStart w:id="103" w:name="_Toc1328808963"/>
      <w:bookmarkStart w:id="104" w:name="_Toc1699442530"/>
      <w:bookmarkStart w:id="105" w:name="_Toc830029228"/>
      <w:r>
        <w:rPr>
          <w:rFonts w:hint="eastAsia" w:ascii="宋体" w:hAnsi="宋体" w:eastAsia="宋体" w:cs="宋体"/>
          <w:sz w:val="36"/>
        </w:rPr>
        <w:t>硬件运输</w:t>
      </w:r>
      <w:bookmarkEnd w:id="103"/>
      <w:bookmarkEnd w:id="104"/>
      <w:bookmarkEnd w:id="105"/>
      <w:r>
        <w:rPr>
          <w:rFonts w:hint="eastAsia" w:ascii="宋体" w:hAnsi="宋体" w:eastAsia="宋体" w:cs="宋体"/>
          <w:sz w:val="36"/>
        </w:rPr>
        <w:t>要求</w:t>
      </w:r>
    </w:p>
    <w:p w14:paraId="46CB9608">
      <w:pPr>
        <w:spacing w:line="360" w:lineRule="auto"/>
        <w:rPr>
          <w:rFonts w:hint="eastAsia"/>
        </w:rPr>
      </w:pPr>
    </w:p>
    <w:p w14:paraId="0B479B02">
      <w:pPr>
        <w:spacing w:line="360" w:lineRule="auto"/>
        <w:ind w:firstLine="480"/>
        <w:rPr>
          <w:rFonts w:hint="eastAsia"/>
        </w:rPr>
      </w:pPr>
      <w:r>
        <w:rPr>
          <w:rFonts w:hint="eastAsia"/>
        </w:rPr>
        <w:t>由乙方提供的所有设备和材料具备适应多次搬运、装卸的坚固包装，包装应保证在仓储、运输、装卸过程中产品完好无损，并有减振、防冲击的措施。包装应按设备特点，按需要分别加上防潮、防霉、防锈、防腐蚀的保护措施，以保证货物在没有任何损坏和腐蚀的情况下安全运抵合同中规定的组装地点。乙方应提供匹配的航空运输箱设计，其尺寸取决于包装内容尺寸，且航空箱应符合其技术指标标准。</w:t>
      </w:r>
    </w:p>
    <w:p w14:paraId="551256FE">
      <w:pPr>
        <w:pStyle w:val="2"/>
        <w:numPr>
          <w:ilvl w:val="0"/>
          <w:numId w:val="1"/>
        </w:numPr>
        <w:spacing w:before="100" w:beforeAutospacing="1" w:after="100" w:afterAutospacing="1" w:line="360" w:lineRule="auto"/>
        <w:rPr>
          <w:rFonts w:hint="eastAsia" w:ascii="宋体" w:hAnsi="宋体" w:eastAsia="宋体" w:cs="宋体"/>
          <w:sz w:val="36"/>
        </w:rPr>
      </w:pPr>
      <w:bookmarkStart w:id="106" w:name="_Toc928985150"/>
      <w:r>
        <w:rPr>
          <w:rFonts w:hint="eastAsia" w:ascii="宋体" w:hAnsi="宋体" w:eastAsia="宋体" w:cs="宋体"/>
          <w:sz w:val="36"/>
        </w:rPr>
        <w:t>信息安全禁令</w:t>
      </w:r>
      <w:bookmarkEnd w:id="106"/>
    </w:p>
    <w:p w14:paraId="3BA0421D">
      <w:pPr>
        <w:pStyle w:val="33"/>
        <w:ind w:firstLineChars="0"/>
        <w:rPr>
          <w:rFonts w:hint="eastAsia" w:ascii="宋体" w:hAnsi="宋体"/>
        </w:rPr>
      </w:pPr>
      <w:r>
        <w:rPr>
          <w:rFonts w:ascii="宋体" w:hAnsi="宋体"/>
        </w:rPr>
        <w:t>第一条：严禁未经批准私自将客户信息、公司经营数据、企业战略文档等机密材料以任何形式提供给外部人员。</w:t>
      </w:r>
    </w:p>
    <w:p w14:paraId="0E152556">
      <w:pPr>
        <w:pStyle w:val="33"/>
        <w:ind w:firstLineChars="0"/>
        <w:rPr>
          <w:rFonts w:hint="eastAsia" w:ascii="宋体" w:hAnsi="宋体"/>
        </w:rPr>
      </w:pPr>
      <w:r>
        <w:rPr>
          <w:rFonts w:ascii="宋体" w:hAnsi="宋体"/>
        </w:rPr>
        <w:t xml:space="preserve">第二条：严禁私自将公司的核心技术资料、核心程序代码等资料提供给工作无关第三方人员。 </w:t>
      </w:r>
    </w:p>
    <w:p w14:paraId="5C45FCB4">
      <w:pPr>
        <w:pStyle w:val="33"/>
        <w:ind w:firstLineChars="0"/>
        <w:rPr>
          <w:rFonts w:hint="eastAsia" w:ascii="宋体" w:hAnsi="宋体"/>
        </w:rPr>
      </w:pPr>
      <w:r>
        <w:rPr>
          <w:rFonts w:ascii="宋体" w:hAnsi="宋体"/>
        </w:rPr>
        <w:t>第三条：严禁利用工作之便违规查询、获取公司邮件、文件、客户信息等涉密信息。</w:t>
      </w:r>
    </w:p>
    <w:p w14:paraId="03FC6288">
      <w:pPr>
        <w:pStyle w:val="33"/>
        <w:ind w:firstLineChars="0"/>
        <w:rPr>
          <w:rFonts w:hint="eastAsia" w:ascii="宋体" w:hAnsi="宋体"/>
        </w:rPr>
      </w:pPr>
      <w:r>
        <w:rPr>
          <w:rFonts w:ascii="宋体" w:hAnsi="宋体"/>
        </w:rPr>
        <w:t xml:space="preserve">第四条：严禁私自操作工作职责外的业务，如私自改动IT系统中的资金、套餐等生产数据。 </w:t>
      </w:r>
    </w:p>
    <w:p w14:paraId="045CA66B">
      <w:pPr>
        <w:pStyle w:val="33"/>
        <w:ind w:firstLineChars="0"/>
        <w:rPr>
          <w:rFonts w:hint="eastAsia" w:ascii="宋体" w:hAnsi="宋体"/>
        </w:rPr>
      </w:pPr>
      <w:r>
        <w:rPr>
          <w:rFonts w:ascii="宋体" w:hAnsi="宋体"/>
        </w:rPr>
        <w:t xml:space="preserve">第五条：严禁未经审批擅自开通、修改或删除各类账号权限。 </w:t>
      </w:r>
    </w:p>
    <w:p w14:paraId="71691462">
      <w:pPr>
        <w:pStyle w:val="33"/>
        <w:ind w:firstLineChars="0"/>
        <w:rPr>
          <w:rFonts w:hint="eastAsia" w:ascii="宋体" w:hAnsi="宋体"/>
        </w:rPr>
      </w:pPr>
      <w:r>
        <w:rPr>
          <w:rFonts w:ascii="宋体" w:hAnsi="宋体"/>
        </w:rPr>
        <w:t>第六条：严禁向第三方合作商透露项目底价、倾向性意见等敏感内容。</w:t>
      </w:r>
    </w:p>
    <w:p w14:paraId="673FF8AC">
      <w:pPr>
        <w:pStyle w:val="33"/>
        <w:ind w:firstLineChars="0"/>
        <w:rPr>
          <w:rFonts w:hint="eastAsia" w:ascii="宋体" w:hAnsi="宋体"/>
        </w:rPr>
      </w:pPr>
      <w:r>
        <w:rPr>
          <w:rFonts w:ascii="宋体" w:hAnsi="宋体"/>
        </w:rPr>
        <w:t>第七条：严禁泄漏生产帐号密码，个人帐号“谁申请、谁负责”，不得私自借予或借用个人账号，未经审批不得私自进入数据库使用生产账号进行任何操作。</w:t>
      </w:r>
    </w:p>
    <w:p w14:paraId="1C33CF1B">
      <w:pPr>
        <w:pStyle w:val="33"/>
        <w:ind w:firstLineChars="0"/>
        <w:rPr>
          <w:rFonts w:hint="eastAsia" w:ascii="宋体" w:hAnsi="宋体"/>
        </w:rPr>
      </w:pPr>
      <w:r>
        <w:rPr>
          <w:rFonts w:ascii="宋体" w:hAnsi="宋体"/>
        </w:rPr>
        <w:t>第八条：严禁隐瞒信息安全事件不上报。</w:t>
      </w:r>
    </w:p>
    <w:p w14:paraId="0A9CF283">
      <w:pPr>
        <w:pStyle w:val="2"/>
        <w:numPr>
          <w:ilvl w:val="0"/>
          <w:numId w:val="1"/>
        </w:numPr>
        <w:spacing w:before="100" w:beforeAutospacing="1" w:after="100" w:afterAutospacing="1" w:line="360" w:lineRule="auto"/>
        <w:rPr>
          <w:rFonts w:hint="eastAsia" w:ascii="宋体" w:hAnsi="宋体" w:eastAsia="宋体" w:cs="宋体"/>
          <w:sz w:val="36"/>
        </w:rPr>
      </w:pPr>
      <w:bookmarkStart w:id="107" w:name="_Toc454062862"/>
      <w:bookmarkStart w:id="108" w:name="_Toc129177559"/>
      <w:bookmarkStart w:id="109" w:name="_Toc1247302360"/>
      <w:bookmarkStart w:id="110" w:name="_Toc727390136"/>
      <w:r>
        <w:rPr>
          <w:rFonts w:hint="eastAsia" w:ascii="宋体" w:hAnsi="宋体" w:eastAsia="宋体" w:cs="宋体"/>
          <w:sz w:val="36"/>
        </w:rPr>
        <w:t>其他要求</w:t>
      </w:r>
      <w:bookmarkEnd w:id="107"/>
      <w:bookmarkEnd w:id="108"/>
      <w:bookmarkEnd w:id="109"/>
      <w:bookmarkEnd w:id="110"/>
    </w:p>
    <w:p w14:paraId="42104BCE">
      <w:pPr>
        <w:pStyle w:val="15"/>
        <w:spacing w:after="0" w:line="360" w:lineRule="auto"/>
        <w:ind w:left="0" w:leftChars="0" w:firstLine="480" w:firstLineChars="200"/>
        <w:rPr>
          <w:rFonts w:hint="eastAsia" w:ascii="宋体" w:hAnsi="宋体" w:eastAsia="宋体" w:cs="宋体"/>
          <w:kern w:val="0"/>
          <w:sz w:val="24"/>
        </w:rPr>
      </w:pPr>
      <w:r>
        <w:rPr>
          <w:rFonts w:hint="eastAsia" w:ascii="宋体" w:hAnsi="宋体" w:eastAsia="宋体" w:cs="宋体"/>
          <w:kern w:val="0"/>
          <w:sz w:val="24"/>
        </w:rPr>
        <w:t>乙方应对调试人员进行培训，并购买意外保险。</w:t>
      </w:r>
    </w:p>
    <w:p w14:paraId="0638EADE">
      <w:pPr>
        <w:pStyle w:val="15"/>
        <w:spacing w:after="0" w:line="360" w:lineRule="auto"/>
        <w:ind w:left="0" w:leftChars="0" w:firstLine="480" w:firstLineChars="200"/>
        <w:rPr>
          <w:rFonts w:hint="eastAsia" w:ascii="宋体" w:hAnsi="宋体" w:eastAsia="宋体" w:cs="宋体"/>
          <w:kern w:val="0"/>
          <w:sz w:val="24"/>
        </w:rPr>
      </w:pPr>
      <w:r>
        <w:rPr>
          <w:rFonts w:hint="eastAsia" w:ascii="宋体" w:hAnsi="宋体" w:eastAsia="宋体" w:cs="宋体"/>
          <w:kern w:val="0"/>
          <w:sz w:val="24"/>
        </w:rPr>
        <w:t>如调试过程中出现安全事故，乙方承担全部责任。</w:t>
      </w:r>
    </w:p>
    <w:p w14:paraId="5096EFA2">
      <w:pPr>
        <w:pStyle w:val="15"/>
        <w:spacing w:after="0" w:line="360" w:lineRule="auto"/>
        <w:ind w:left="0" w:leftChars="0" w:firstLine="480" w:firstLineChars="200"/>
        <w:rPr>
          <w:rFonts w:hint="eastAsia" w:ascii="宋体" w:hAnsi="宋体" w:eastAsia="宋体" w:cs="宋体"/>
          <w:kern w:val="0"/>
          <w:sz w:val="24"/>
        </w:rPr>
      </w:pPr>
      <w:r>
        <w:rPr>
          <w:rFonts w:hint="eastAsia" w:ascii="宋体" w:hAnsi="宋体" w:eastAsia="宋体" w:cs="宋体"/>
          <w:kern w:val="0"/>
          <w:sz w:val="24"/>
        </w:rPr>
        <w:t>乙方须开具安全生产事故与我公司无关的责任申明，如提供服务过程中出现安全事故，乙方应承担全部责任。</w:t>
      </w:r>
    </w:p>
    <w:p w14:paraId="49740167">
      <w:pPr>
        <w:pStyle w:val="15"/>
        <w:spacing w:after="0" w:line="360" w:lineRule="auto"/>
        <w:ind w:left="0" w:leftChars="0" w:firstLine="480" w:firstLineChars="200"/>
      </w:pPr>
      <w:r>
        <w:rPr>
          <w:rFonts w:hint="eastAsia" w:ascii="宋体" w:hAnsi="宋体" w:eastAsia="宋体" w:cs="宋体"/>
          <w:kern w:val="0"/>
          <w:sz w:val="24"/>
        </w:rPr>
        <w:t>在质保期内，若乙方提供的电源等原配件在应用过程中因产品质量问题出现爆炸等各类安全事故（非人为因素），造成人员伤亡及经济损失，乙方应承担全部责任。</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长城仿宋">
    <w:altName w:val="仿宋"/>
    <w:panose1 w:val="00000000000000000000"/>
    <w:charset w:val="86"/>
    <w:family w:val="modern"/>
    <w:pitch w:val="default"/>
    <w:sig w:usb0="00000000" w:usb1="00000000" w:usb2="00000010" w:usb3="00000000" w:csb0="00040000" w:csb1="00000000"/>
  </w:font>
  <w:font w:name="PingFang SC">
    <w:altName w:val="宋体"/>
    <w:panose1 w:val="00000000000000000000"/>
    <w:charset w:val="86"/>
    <w:family w:val="swiss"/>
    <w:pitch w:val="default"/>
    <w:sig w:usb0="00000000" w:usb1="00000000" w:usb2="00000017" w:usb3="00000000" w:csb0="00040001" w:csb1="00000000"/>
  </w:font>
  <w:font w:name="Courier New">
    <w:panose1 w:val="02070309020205020404"/>
    <w:charset w:val="00"/>
    <w:family w:val="modern"/>
    <w:pitch w:val="default"/>
    <w:sig w:usb0="E0002EFF" w:usb1="C0007843" w:usb2="00000009" w:usb3="00000000" w:csb0="400001FF" w:csb1="FFFF0000"/>
  </w:font>
  <w:font w:name="Helvetica Neue">
    <w:altName w:val="Times New Roman"/>
    <w:panose1 w:val="00000000000000000000"/>
    <w:charset w:val="00"/>
    <w:family w:val="auto"/>
    <w:pitch w:val="default"/>
    <w:sig w:usb0="00000000" w:usb1="00000000" w:usb2="00000010" w:usb3="00000000" w:csb0="00000000" w:csb1="00000000"/>
  </w:font>
  <w:font w:name="quote-cjk-patch">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D1EAC">
    <w:pPr>
      <w:pStyle w:val="18"/>
      <w:ind w:right="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C67681">
                          <w:pPr>
                            <w:pStyle w:val="18"/>
                          </w:pPr>
                          <w:r>
                            <w:rPr>
                              <w:rStyle w:val="29"/>
                            </w:rPr>
                            <w:fldChar w:fldCharType="begin"/>
                          </w:r>
                          <w:r>
                            <w:rPr>
                              <w:rStyle w:val="29"/>
                            </w:rPr>
                            <w:instrText xml:space="preserve">PAGE  </w:instrText>
                          </w:r>
                          <w:r>
                            <w:rPr>
                              <w:rStyle w:val="29"/>
                            </w:rPr>
                            <w:fldChar w:fldCharType="separate"/>
                          </w:r>
                          <w:r>
                            <w:rPr>
                              <w:rStyle w:val="29"/>
                            </w:rPr>
                            <w:t>7</w:t>
                          </w:r>
                          <w:r>
                            <w:rPr>
                              <w:rStyle w:val="29"/>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qnbYsAgAAVQ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6qdtiwCAABVBAAADgAAAAAAAAABACAAAAAfAQAAZHJzL2Uyb0RvYy54bWxQSwUGAAAAAAYA&#10;BgBZAQAAvQUAAAAA&#10;">
              <v:fill on="f" focussize="0,0"/>
              <v:stroke on="f" weight="0.5pt"/>
              <v:imagedata o:title=""/>
              <o:lock v:ext="edit" aspectratio="f"/>
              <v:textbox inset="0mm,0mm,0mm,0mm" style="mso-fit-shape-to-text:t;">
                <w:txbxContent>
                  <w:p w14:paraId="0BC67681">
                    <w:pPr>
                      <w:pStyle w:val="18"/>
                    </w:pPr>
                    <w:r>
                      <w:rPr>
                        <w:rStyle w:val="29"/>
                      </w:rPr>
                      <w:fldChar w:fldCharType="begin"/>
                    </w:r>
                    <w:r>
                      <w:rPr>
                        <w:rStyle w:val="29"/>
                      </w:rPr>
                      <w:instrText xml:space="preserve">PAGE  </w:instrText>
                    </w:r>
                    <w:r>
                      <w:rPr>
                        <w:rStyle w:val="29"/>
                      </w:rPr>
                      <w:fldChar w:fldCharType="separate"/>
                    </w:r>
                    <w:r>
                      <w:rPr>
                        <w:rStyle w:val="29"/>
                      </w:rPr>
                      <w:t>7</w:t>
                    </w:r>
                    <w:r>
                      <w:rPr>
                        <w:rStyle w:val="29"/>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46FF8">
    <w:pPr>
      <w:pStyle w:val="18"/>
      <w:framePr w:wrap="around" w:vAnchor="text" w:hAnchor="margin" w:xAlign="right" w:y="1"/>
    </w:pPr>
    <w:r>
      <w:rPr>
        <w:rStyle w:val="29"/>
      </w:rPr>
      <w:fldChar w:fldCharType="begin"/>
    </w:r>
    <w:r>
      <w:rPr>
        <w:rStyle w:val="29"/>
      </w:rPr>
      <w:instrText xml:space="preserve">PAGE  </w:instrText>
    </w:r>
    <w:r>
      <w:rPr>
        <w:rStyle w:val="29"/>
      </w:rPr>
      <w:fldChar w:fldCharType="end"/>
    </w:r>
  </w:p>
  <w:p w14:paraId="3FC845B3">
    <w:pPr>
      <w:pStyle w:val="18"/>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041A08"/>
    <w:multiLevelType w:val="multilevel"/>
    <w:tmpl w:val="01041A08"/>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default" w:asciiTheme="majorEastAsia" w:hAnsiTheme="majorEastAsia" w:eastAsiaTheme="majorEastAsia" w:cstheme="majorEastAsia"/>
      </w:rPr>
    </w:lvl>
    <w:lvl w:ilvl="2" w:tentative="0">
      <w:start w:val="1"/>
      <w:numFmt w:val="decimal"/>
      <w:lvlText w:val="%1.%2.%3."/>
      <w:lvlJc w:val="left"/>
      <w:pPr>
        <w:ind w:left="709" w:hanging="709"/>
      </w:pPr>
      <w:rPr>
        <w:rFonts w:hint="default" w:asciiTheme="majorEastAsia" w:hAnsiTheme="majorEastAsia" w:eastAsiaTheme="majorEastAsia" w:cstheme="major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10DA278B"/>
    <w:multiLevelType w:val="multilevel"/>
    <w:tmpl w:val="10DA278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53D714A"/>
    <w:multiLevelType w:val="multilevel"/>
    <w:tmpl w:val="153D714A"/>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
    <w:nsid w:val="6BA84EDE"/>
    <w:multiLevelType w:val="multilevel"/>
    <w:tmpl w:val="6BA84EDE"/>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yNDZlYmIzNWQ5MDhkMzY0NzUwNzZkMTBmM2Y2MzcifQ=="/>
  </w:docVars>
  <w:rsids>
    <w:rsidRoot w:val="002D2441"/>
    <w:rsid w:val="00000350"/>
    <w:rsid w:val="00011078"/>
    <w:rsid w:val="00012DFE"/>
    <w:rsid w:val="00015740"/>
    <w:rsid w:val="00016087"/>
    <w:rsid w:val="000162ED"/>
    <w:rsid w:val="00024CD2"/>
    <w:rsid w:val="00026074"/>
    <w:rsid w:val="00030B19"/>
    <w:rsid w:val="00032B7C"/>
    <w:rsid w:val="00033F6A"/>
    <w:rsid w:val="00034032"/>
    <w:rsid w:val="00035CED"/>
    <w:rsid w:val="00036BAE"/>
    <w:rsid w:val="00040D85"/>
    <w:rsid w:val="00040E15"/>
    <w:rsid w:val="000412FC"/>
    <w:rsid w:val="00046096"/>
    <w:rsid w:val="0005015C"/>
    <w:rsid w:val="00053E43"/>
    <w:rsid w:val="000551F2"/>
    <w:rsid w:val="000557C9"/>
    <w:rsid w:val="0005673A"/>
    <w:rsid w:val="00056C65"/>
    <w:rsid w:val="000637BF"/>
    <w:rsid w:val="00063F6A"/>
    <w:rsid w:val="00064B4A"/>
    <w:rsid w:val="00065CB3"/>
    <w:rsid w:val="00065D19"/>
    <w:rsid w:val="000672DA"/>
    <w:rsid w:val="000824F1"/>
    <w:rsid w:val="00084474"/>
    <w:rsid w:val="0008487D"/>
    <w:rsid w:val="00087E8C"/>
    <w:rsid w:val="000977C3"/>
    <w:rsid w:val="000A3D51"/>
    <w:rsid w:val="000A48BB"/>
    <w:rsid w:val="000B12A1"/>
    <w:rsid w:val="000B41E3"/>
    <w:rsid w:val="000B4648"/>
    <w:rsid w:val="000B64CB"/>
    <w:rsid w:val="000D0345"/>
    <w:rsid w:val="000D2ECF"/>
    <w:rsid w:val="000D3377"/>
    <w:rsid w:val="000E0653"/>
    <w:rsid w:val="000E341E"/>
    <w:rsid w:val="000E4A98"/>
    <w:rsid w:val="000E4B86"/>
    <w:rsid w:val="000E5EAB"/>
    <w:rsid w:val="000F480E"/>
    <w:rsid w:val="000F4A25"/>
    <w:rsid w:val="000F526B"/>
    <w:rsid w:val="000F57E8"/>
    <w:rsid w:val="000F6EAE"/>
    <w:rsid w:val="00102C78"/>
    <w:rsid w:val="00104065"/>
    <w:rsid w:val="0010627A"/>
    <w:rsid w:val="00106A90"/>
    <w:rsid w:val="00111C33"/>
    <w:rsid w:val="00113AA7"/>
    <w:rsid w:val="00114000"/>
    <w:rsid w:val="0011510A"/>
    <w:rsid w:val="0012296D"/>
    <w:rsid w:val="00123D09"/>
    <w:rsid w:val="00124055"/>
    <w:rsid w:val="00125C6C"/>
    <w:rsid w:val="001267BD"/>
    <w:rsid w:val="0013461E"/>
    <w:rsid w:val="001350D7"/>
    <w:rsid w:val="001412D0"/>
    <w:rsid w:val="001434BA"/>
    <w:rsid w:val="00145EA1"/>
    <w:rsid w:val="00151478"/>
    <w:rsid w:val="00152AAE"/>
    <w:rsid w:val="00153E2B"/>
    <w:rsid w:val="00155E4C"/>
    <w:rsid w:val="00156ADA"/>
    <w:rsid w:val="00157555"/>
    <w:rsid w:val="001660DA"/>
    <w:rsid w:val="00172162"/>
    <w:rsid w:val="00174316"/>
    <w:rsid w:val="001751F0"/>
    <w:rsid w:val="0017522A"/>
    <w:rsid w:val="00175EAC"/>
    <w:rsid w:val="00177989"/>
    <w:rsid w:val="00183368"/>
    <w:rsid w:val="001859C4"/>
    <w:rsid w:val="00186E77"/>
    <w:rsid w:val="00191866"/>
    <w:rsid w:val="00193356"/>
    <w:rsid w:val="001958F0"/>
    <w:rsid w:val="00196A45"/>
    <w:rsid w:val="001A324D"/>
    <w:rsid w:val="001A3EE3"/>
    <w:rsid w:val="001A4EBB"/>
    <w:rsid w:val="001A4EC8"/>
    <w:rsid w:val="001A67CA"/>
    <w:rsid w:val="001B2D08"/>
    <w:rsid w:val="001B45A3"/>
    <w:rsid w:val="001B45CB"/>
    <w:rsid w:val="001B4C94"/>
    <w:rsid w:val="001B7DF3"/>
    <w:rsid w:val="001C2836"/>
    <w:rsid w:val="001D08A2"/>
    <w:rsid w:val="001D092F"/>
    <w:rsid w:val="001D11DB"/>
    <w:rsid w:val="001D2209"/>
    <w:rsid w:val="001D34B0"/>
    <w:rsid w:val="001D3F83"/>
    <w:rsid w:val="001E70FF"/>
    <w:rsid w:val="001E7452"/>
    <w:rsid w:val="001E7831"/>
    <w:rsid w:val="001F1D4E"/>
    <w:rsid w:val="001F4E5E"/>
    <w:rsid w:val="001F5629"/>
    <w:rsid w:val="00202FFB"/>
    <w:rsid w:val="002062A6"/>
    <w:rsid w:val="00206E6B"/>
    <w:rsid w:val="00207346"/>
    <w:rsid w:val="00211261"/>
    <w:rsid w:val="00214C1E"/>
    <w:rsid w:val="00214F9F"/>
    <w:rsid w:val="00215544"/>
    <w:rsid w:val="00220FF7"/>
    <w:rsid w:val="00221880"/>
    <w:rsid w:val="00222537"/>
    <w:rsid w:val="00223C1E"/>
    <w:rsid w:val="00225A71"/>
    <w:rsid w:val="00230240"/>
    <w:rsid w:val="0023181A"/>
    <w:rsid w:val="00233090"/>
    <w:rsid w:val="00233374"/>
    <w:rsid w:val="002416A0"/>
    <w:rsid w:val="0024201A"/>
    <w:rsid w:val="0024566A"/>
    <w:rsid w:val="002547B1"/>
    <w:rsid w:val="0025567D"/>
    <w:rsid w:val="00256688"/>
    <w:rsid w:val="00257F1F"/>
    <w:rsid w:val="00260077"/>
    <w:rsid w:val="00261E75"/>
    <w:rsid w:val="002627F3"/>
    <w:rsid w:val="0026473B"/>
    <w:rsid w:val="00265FC2"/>
    <w:rsid w:val="0026633C"/>
    <w:rsid w:val="0026638C"/>
    <w:rsid w:val="002718D5"/>
    <w:rsid w:val="00275E00"/>
    <w:rsid w:val="00276E58"/>
    <w:rsid w:val="002803BC"/>
    <w:rsid w:val="00280987"/>
    <w:rsid w:val="00282185"/>
    <w:rsid w:val="00285400"/>
    <w:rsid w:val="00290088"/>
    <w:rsid w:val="00290CB5"/>
    <w:rsid w:val="0029558F"/>
    <w:rsid w:val="00295C59"/>
    <w:rsid w:val="002A1B87"/>
    <w:rsid w:val="002A22A3"/>
    <w:rsid w:val="002A230C"/>
    <w:rsid w:val="002A2793"/>
    <w:rsid w:val="002A433D"/>
    <w:rsid w:val="002A651F"/>
    <w:rsid w:val="002B25A1"/>
    <w:rsid w:val="002B307E"/>
    <w:rsid w:val="002B5BDD"/>
    <w:rsid w:val="002C1CD4"/>
    <w:rsid w:val="002C7AEA"/>
    <w:rsid w:val="002C7B43"/>
    <w:rsid w:val="002D036E"/>
    <w:rsid w:val="002D09D4"/>
    <w:rsid w:val="002D2441"/>
    <w:rsid w:val="002D404E"/>
    <w:rsid w:val="002D56A6"/>
    <w:rsid w:val="002D5ABE"/>
    <w:rsid w:val="002D6620"/>
    <w:rsid w:val="002D6F55"/>
    <w:rsid w:val="002E005E"/>
    <w:rsid w:val="002E1420"/>
    <w:rsid w:val="002E4334"/>
    <w:rsid w:val="002F4B7E"/>
    <w:rsid w:val="002F5CE0"/>
    <w:rsid w:val="002F5DCB"/>
    <w:rsid w:val="002F76D1"/>
    <w:rsid w:val="002F7FCF"/>
    <w:rsid w:val="003007AA"/>
    <w:rsid w:val="003017CA"/>
    <w:rsid w:val="00302E01"/>
    <w:rsid w:val="00303F7D"/>
    <w:rsid w:val="00307BD9"/>
    <w:rsid w:val="003118D0"/>
    <w:rsid w:val="00311FF5"/>
    <w:rsid w:val="003120BC"/>
    <w:rsid w:val="003176BF"/>
    <w:rsid w:val="003204DC"/>
    <w:rsid w:val="003207FE"/>
    <w:rsid w:val="00320C28"/>
    <w:rsid w:val="00322024"/>
    <w:rsid w:val="00323FEF"/>
    <w:rsid w:val="00325FC9"/>
    <w:rsid w:val="0033039D"/>
    <w:rsid w:val="003331ED"/>
    <w:rsid w:val="0033652E"/>
    <w:rsid w:val="003407E0"/>
    <w:rsid w:val="00343233"/>
    <w:rsid w:val="00343C0E"/>
    <w:rsid w:val="00345263"/>
    <w:rsid w:val="00350E32"/>
    <w:rsid w:val="003519E1"/>
    <w:rsid w:val="003536BE"/>
    <w:rsid w:val="00353842"/>
    <w:rsid w:val="003573D8"/>
    <w:rsid w:val="00362CC6"/>
    <w:rsid w:val="00364EEF"/>
    <w:rsid w:val="00366B0F"/>
    <w:rsid w:val="00371C51"/>
    <w:rsid w:val="00372C45"/>
    <w:rsid w:val="00374E86"/>
    <w:rsid w:val="00376487"/>
    <w:rsid w:val="00380F25"/>
    <w:rsid w:val="0038243E"/>
    <w:rsid w:val="00384932"/>
    <w:rsid w:val="003878CD"/>
    <w:rsid w:val="003879F8"/>
    <w:rsid w:val="00396DE3"/>
    <w:rsid w:val="003A07A8"/>
    <w:rsid w:val="003A0F5D"/>
    <w:rsid w:val="003A2564"/>
    <w:rsid w:val="003A6AD9"/>
    <w:rsid w:val="003A735F"/>
    <w:rsid w:val="003B0334"/>
    <w:rsid w:val="003B3558"/>
    <w:rsid w:val="003B3C60"/>
    <w:rsid w:val="003C2E42"/>
    <w:rsid w:val="003C5E42"/>
    <w:rsid w:val="003C64F7"/>
    <w:rsid w:val="003C7DED"/>
    <w:rsid w:val="003D0543"/>
    <w:rsid w:val="003D2689"/>
    <w:rsid w:val="003E002D"/>
    <w:rsid w:val="003E1243"/>
    <w:rsid w:val="003E31FC"/>
    <w:rsid w:val="003E6811"/>
    <w:rsid w:val="003F0156"/>
    <w:rsid w:val="003F2809"/>
    <w:rsid w:val="003F3707"/>
    <w:rsid w:val="003F6998"/>
    <w:rsid w:val="003F79E0"/>
    <w:rsid w:val="003F7D8D"/>
    <w:rsid w:val="00402034"/>
    <w:rsid w:val="00403BDD"/>
    <w:rsid w:val="00404160"/>
    <w:rsid w:val="0040645A"/>
    <w:rsid w:val="00411849"/>
    <w:rsid w:val="00413367"/>
    <w:rsid w:val="00413F4D"/>
    <w:rsid w:val="004162B8"/>
    <w:rsid w:val="004166A9"/>
    <w:rsid w:val="004219DF"/>
    <w:rsid w:val="00422288"/>
    <w:rsid w:val="004242FC"/>
    <w:rsid w:val="00424361"/>
    <w:rsid w:val="00425B2D"/>
    <w:rsid w:val="00426428"/>
    <w:rsid w:val="00427C2B"/>
    <w:rsid w:val="00430607"/>
    <w:rsid w:val="00431067"/>
    <w:rsid w:val="00436761"/>
    <w:rsid w:val="00436D21"/>
    <w:rsid w:val="00440BD3"/>
    <w:rsid w:val="0044100D"/>
    <w:rsid w:val="0044200C"/>
    <w:rsid w:val="00442A7C"/>
    <w:rsid w:val="00442C45"/>
    <w:rsid w:val="00446166"/>
    <w:rsid w:val="00453B75"/>
    <w:rsid w:val="00457EE1"/>
    <w:rsid w:val="004648C8"/>
    <w:rsid w:val="00466C01"/>
    <w:rsid w:val="004674D1"/>
    <w:rsid w:val="00467606"/>
    <w:rsid w:val="00470010"/>
    <w:rsid w:val="00473147"/>
    <w:rsid w:val="0047444D"/>
    <w:rsid w:val="00474FA3"/>
    <w:rsid w:val="0047557F"/>
    <w:rsid w:val="00476680"/>
    <w:rsid w:val="004771B3"/>
    <w:rsid w:val="0048202C"/>
    <w:rsid w:val="0048333A"/>
    <w:rsid w:val="00484357"/>
    <w:rsid w:val="00484AA6"/>
    <w:rsid w:val="004853C8"/>
    <w:rsid w:val="00485F9E"/>
    <w:rsid w:val="004875A6"/>
    <w:rsid w:val="004932B7"/>
    <w:rsid w:val="00493F86"/>
    <w:rsid w:val="004940F8"/>
    <w:rsid w:val="004945E9"/>
    <w:rsid w:val="00495FE6"/>
    <w:rsid w:val="00496136"/>
    <w:rsid w:val="00496F14"/>
    <w:rsid w:val="00497326"/>
    <w:rsid w:val="004975EB"/>
    <w:rsid w:val="004979CE"/>
    <w:rsid w:val="004A0CAA"/>
    <w:rsid w:val="004A1628"/>
    <w:rsid w:val="004A35D4"/>
    <w:rsid w:val="004A5AF3"/>
    <w:rsid w:val="004A60E9"/>
    <w:rsid w:val="004A6269"/>
    <w:rsid w:val="004B06B0"/>
    <w:rsid w:val="004B1537"/>
    <w:rsid w:val="004B1BB1"/>
    <w:rsid w:val="004B1C72"/>
    <w:rsid w:val="004B767C"/>
    <w:rsid w:val="004B7B30"/>
    <w:rsid w:val="004C03B6"/>
    <w:rsid w:val="004C09BD"/>
    <w:rsid w:val="004C376C"/>
    <w:rsid w:val="004C51E6"/>
    <w:rsid w:val="004C61CB"/>
    <w:rsid w:val="004C65C4"/>
    <w:rsid w:val="004C6FEE"/>
    <w:rsid w:val="004C7B2C"/>
    <w:rsid w:val="004D411B"/>
    <w:rsid w:val="004D4B21"/>
    <w:rsid w:val="004E1488"/>
    <w:rsid w:val="004E1822"/>
    <w:rsid w:val="004E23CF"/>
    <w:rsid w:val="004E2872"/>
    <w:rsid w:val="004E2BF6"/>
    <w:rsid w:val="004E40DE"/>
    <w:rsid w:val="004E4958"/>
    <w:rsid w:val="004E67AC"/>
    <w:rsid w:val="004F2185"/>
    <w:rsid w:val="004F2A4A"/>
    <w:rsid w:val="00505D92"/>
    <w:rsid w:val="00505FC3"/>
    <w:rsid w:val="00506196"/>
    <w:rsid w:val="00506D2A"/>
    <w:rsid w:val="00506D88"/>
    <w:rsid w:val="00511629"/>
    <w:rsid w:val="005125B8"/>
    <w:rsid w:val="00512D42"/>
    <w:rsid w:val="00515E0D"/>
    <w:rsid w:val="00516765"/>
    <w:rsid w:val="005175FD"/>
    <w:rsid w:val="005201F4"/>
    <w:rsid w:val="00520239"/>
    <w:rsid w:val="00522684"/>
    <w:rsid w:val="00523404"/>
    <w:rsid w:val="00524C52"/>
    <w:rsid w:val="005252B7"/>
    <w:rsid w:val="0053026B"/>
    <w:rsid w:val="00531A9C"/>
    <w:rsid w:val="00532E0D"/>
    <w:rsid w:val="00536F57"/>
    <w:rsid w:val="00540117"/>
    <w:rsid w:val="005416E2"/>
    <w:rsid w:val="005444C2"/>
    <w:rsid w:val="00546789"/>
    <w:rsid w:val="005479DB"/>
    <w:rsid w:val="00552212"/>
    <w:rsid w:val="00552EB4"/>
    <w:rsid w:val="0055364D"/>
    <w:rsid w:val="00553A7E"/>
    <w:rsid w:val="00557CD6"/>
    <w:rsid w:val="005705C6"/>
    <w:rsid w:val="005809B6"/>
    <w:rsid w:val="005814BE"/>
    <w:rsid w:val="005900BF"/>
    <w:rsid w:val="0059682B"/>
    <w:rsid w:val="005A39D4"/>
    <w:rsid w:val="005A3E34"/>
    <w:rsid w:val="005A604A"/>
    <w:rsid w:val="005B5A89"/>
    <w:rsid w:val="005C3C17"/>
    <w:rsid w:val="005C67B9"/>
    <w:rsid w:val="005C6D08"/>
    <w:rsid w:val="005D27DD"/>
    <w:rsid w:val="005D3008"/>
    <w:rsid w:val="005E14CF"/>
    <w:rsid w:val="005E1888"/>
    <w:rsid w:val="005E260C"/>
    <w:rsid w:val="005E3032"/>
    <w:rsid w:val="005E5B58"/>
    <w:rsid w:val="005E6040"/>
    <w:rsid w:val="005F124B"/>
    <w:rsid w:val="00605633"/>
    <w:rsid w:val="00607C83"/>
    <w:rsid w:val="0061328F"/>
    <w:rsid w:val="00613E49"/>
    <w:rsid w:val="00616871"/>
    <w:rsid w:val="00624156"/>
    <w:rsid w:val="006304F3"/>
    <w:rsid w:val="0063295E"/>
    <w:rsid w:val="00632C41"/>
    <w:rsid w:val="00634112"/>
    <w:rsid w:val="006348AA"/>
    <w:rsid w:val="006368ED"/>
    <w:rsid w:val="006400D9"/>
    <w:rsid w:val="006439A9"/>
    <w:rsid w:val="006521FF"/>
    <w:rsid w:val="0065620F"/>
    <w:rsid w:val="006622F2"/>
    <w:rsid w:val="00662C7B"/>
    <w:rsid w:val="006642A8"/>
    <w:rsid w:val="006672C1"/>
    <w:rsid w:val="00682760"/>
    <w:rsid w:val="00684C93"/>
    <w:rsid w:val="00690631"/>
    <w:rsid w:val="006922E1"/>
    <w:rsid w:val="006A08F3"/>
    <w:rsid w:val="006A5F07"/>
    <w:rsid w:val="006A70C8"/>
    <w:rsid w:val="006A7D6E"/>
    <w:rsid w:val="006B0E93"/>
    <w:rsid w:val="006B2332"/>
    <w:rsid w:val="006B4205"/>
    <w:rsid w:val="006B7AC3"/>
    <w:rsid w:val="006C1D4C"/>
    <w:rsid w:val="006C2B35"/>
    <w:rsid w:val="006C3DB0"/>
    <w:rsid w:val="006C5375"/>
    <w:rsid w:val="006C7427"/>
    <w:rsid w:val="006D00A5"/>
    <w:rsid w:val="006D1D47"/>
    <w:rsid w:val="006D3ABF"/>
    <w:rsid w:val="006D4F90"/>
    <w:rsid w:val="006D69DF"/>
    <w:rsid w:val="006D6D70"/>
    <w:rsid w:val="006E2C90"/>
    <w:rsid w:val="006E3C26"/>
    <w:rsid w:val="006E53E1"/>
    <w:rsid w:val="006E5ADA"/>
    <w:rsid w:val="006E5DEC"/>
    <w:rsid w:val="006E75F6"/>
    <w:rsid w:val="006E7701"/>
    <w:rsid w:val="006F0E2C"/>
    <w:rsid w:val="006F0E63"/>
    <w:rsid w:val="006F1812"/>
    <w:rsid w:val="006F1D47"/>
    <w:rsid w:val="006F2136"/>
    <w:rsid w:val="006F5497"/>
    <w:rsid w:val="006F7112"/>
    <w:rsid w:val="007015DB"/>
    <w:rsid w:val="0070275B"/>
    <w:rsid w:val="00703151"/>
    <w:rsid w:val="00705BC7"/>
    <w:rsid w:val="007060E0"/>
    <w:rsid w:val="007074A8"/>
    <w:rsid w:val="00707BC3"/>
    <w:rsid w:val="00707D5B"/>
    <w:rsid w:val="00710D26"/>
    <w:rsid w:val="00712E63"/>
    <w:rsid w:val="007142D5"/>
    <w:rsid w:val="00716C5C"/>
    <w:rsid w:val="00720A3B"/>
    <w:rsid w:val="00724B38"/>
    <w:rsid w:val="00726A67"/>
    <w:rsid w:val="00727DFA"/>
    <w:rsid w:val="00733B4B"/>
    <w:rsid w:val="00737C54"/>
    <w:rsid w:val="00740A0C"/>
    <w:rsid w:val="00742C0B"/>
    <w:rsid w:val="007456CE"/>
    <w:rsid w:val="00747A04"/>
    <w:rsid w:val="00747F56"/>
    <w:rsid w:val="00751328"/>
    <w:rsid w:val="00751F86"/>
    <w:rsid w:val="00755A2C"/>
    <w:rsid w:val="00756188"/>
    <w:rsid w:val="00756648"/>
    <w:rsid w:val="00757CB0"/>
    <w:rsid w:val="007614AE"/>
    <w:rsid w:val="00762935"/>
    <w:rsid w:val="007634F7"/>
    <w:rsid w:val="00763DEB"/>
    <w:rsid w:val="0076777D"/>
    <w:rsid w:val="007705D9"/>
    <w:rsid w:val="0077143A"/>
    <w:rsid w:val="007735A1"/>
    <w:rsid w:val="007737AD"/>
    <w:rsid w:val="00775281"/>
    <w:rsid w:val="00775B5B"/>
    <w:rsid w:val="00776DCA"/>
    <w:rsid w:val="00777CBD"/>
    <w:rsid w:val="00780AA1"/>
    <w:rsid w:val="007810C1"/>
    <w:rsid w:val="00785EC5"/>
    <w:rsid w:val="0078678C"/>
    <w:rsid w:val="00791F41"/>
    <w:rsid w:val="00793956"/>
    <w:rsid w:val="00793F2D"/>
    <w:rsid w:val="00794B0B"/>
    <w:rsid w:val="00794D39"/>
    <w:rsid w:val="00796931"/>
    <w:rsid w:val="007A04DF"/>
    <w:rsid w:val="007A1F2D"/>
    <w:rsid w:val="007A4FE3"/>
    <w:rsid w:val="007A70A7"/>
    <w:rsid w:val="007B11BF"/>
    <w:rsid w:val="007B271E"/>
    <w:rsid w:val="007B44FB"/>
    <w:rsid w:val="007B455F"/>
    <w:rsid w:val="007B636B"/>
    <w:rsid w:val="007C01CE"/>
    <w:rsid w:val="007C1D17"/>
    <w:rsid w:val="007C1E6E"/>
    <w:rsid w:val="007C3173"/>
    <w:rsid w:val="007C321A"/>
    <w:rsid w:val="007C3270"/>
    <w:rsid w:val="007C5A3F"/>
    <w:rsid w:val="007C5AA5"/>
    <w:rsid w:val="007C6B0F"/>
    <w:rsid w:val="007C7297"/>
    <w:rsid w:val="007C7AA1"/>
    <w:rsid w:val="007C7E70"/>
    <w:rsid w:val="007D1075"/>
    <w:rsid w:val="007D390A"/>
    <w:rsid w:val="007D570C"/>
    <w:rsid w:val="007E00C1"/>
    <w:rsid w:val="007E1A73"/>
    <w:rsid w:val="007E4207"/>
    <w:rsid w:val="007E5602"/>
    <w:rsid w:val="007F02C6"/>
    <w:rsid w:val="007F2141"/>
    <w:rsid w:val="007F41F3"/>
    <w:rsid w:val="007F5254"/>
    <w:rsid w:val="007F5751"/>
    <w:rsid w:val="00800927"/>
    <w:rsid w:val="008057E1"/>
    <w:rsid w:val="00812888"/>
    <w:rsid w:val="00817BA9"/>
    <w:rsid w:val="00817E07"/>
    <w:rsid w:val="00823A6A"/>
    <w:rsid w:val="0082660D"/>
    <w:rsid w:val="00826F01"/>
    <w:rsid w:val="00830F0F"/>
    <w:rsid w:val="0083190E"/>
    <w:rsid w:val="00835029"/>
    <w:rsid w:val="008366A7"/>
    <w:rsid w:val="008409A0"/>
    <w:rsid w:val="00842345"/>
    <w:rsid w:val="008449D9"/>
    <w:rsid w:val="00846C63"/>
    <w:rsid w:val="00851101"/>
    <w:rsid w:val="0085236A"/>
    <w:rsid w:val="008548D0"/>
    <w:rsid w:val="0085697F"/>
    <w:rsid w:val="008606FD"/>
    <w:rsid w:val="00860CAC"/>
    <w:rsid w:val="00862CC2"/>
    <w:rsid w:val="00863554"/>
    <w:rsid w:val="0086544E"/>
    <w:rsid w:val="008670F2"/>
    <w:rsid w:val="008715D4"/>
    <w:rsid w:val="00873C1E"/>
    <w:rsid w:val="00874ACF"/>
    <w:rsid w:val="008754B2"/>
    <w:rsid w:val="008755DF"/>
    <w:rsid w:val="00875B31"/>
    <w:rsid w:val="00876035"/>
    <w:rsid w:val="00876274"/>
    <w:rsid w:val="0087728B"/>
    <w:rsid w:val="00882F1E"/>
    <w:rsid w:val="0088522A"/>
    <w:rsid w:val="008859C5"/>
    <w:rsid w:val="00887893"/>
    <w:rsid w:val="00896E3E"/>
    <w:rsid w:val="008A378A"/>
    <w:rsid w:val="008A3E04"/>
    <w:rsid w:val="008A443B"/>
    <w:rsid w:val="008A5A71"/>
    <w:rsid w:val="008A63A1"/>
    <w:rsid w:val="008A695C"/>
    <w:rsid w:val="008B013C"/>
    <w:rsid w:val="008B05FB"/>
    <w:rsid w:val="008B59E1"/>
    <w:rsid w:val="008C07B5"/>
    <w:rsid w:val="008C1B41"/>
    <w:rsid w:val="008C399A"/>
    <w:rsid w:val="008D21E2"/>
    <w:rsid w:val="008D2D8B"/>
    <w:rsid w:val="008D43CA"/>
    <w:rsid w:val="008D6432"/>
    <w:rsid w:val="008D78D8"/>
    <w:rsid w:val="008E0F33"/>
    <w:rsid w:val="008F06B3"/>
    <w:rsid w:val="008F06D3"/>
    <w:rsid w:val="008F286B"/>
    <w:rsid w:val="008F46F1"/>
    <w:rsid w:val="009044FF"/>
    <w:rsid w:val="00905DF1"/>
    <w:rsid w:val="00912F02"/>
    <w:rsid w:val="009202BE"/>
    <w:rsid w:val="0092294C"/>
    <w:rsid w:val="0092298B"/>
    <w:rsid w:val="00923B5E"/>
    <w:rsid w:val="00925992"/>
    <w:rsid w:val="009277A3"/>
    <w:rsid w:val="0092787F"/>
    <w:rsid w:val="00930DB5"/>
    <w:rsid w:val="009317CC"/>
    <w:rsid w:val="009333C0"/>
    <w:rsid w:val="00934B81"/>
    <w:rsid w:val="009351A4"/>
    <w:rsid w:val="0093550A"/>
    <w:rsid w:val="00936188"/>
    <w:rsid w:val="00937220"/>
    <w:rsid w:val="00937C9A"/>
    <w:rsid w:val="00940B56"/>
    <w:rsid w:val="009432C0"/>
    <w:rsid w:val="00943350"/>
    <w:rsid w:val="009433DD"/>
    <w:rsid w:val="00945A57"/>
    <w:rsid w:val="00950104"/>
    <w:rsid w:val="00952742"/>
    <w:rsid w:val="00952CBF"/>
    <w:rsid w:val="00952E6F"/>
    <w:rsid w:val="00953C59"/>
    <w:rsid w:val="00955270"/>
    <w:rsid w:val="0095605B"/>
    <w:rsid w:val="00962006"/>
    <w:rsid w:val="00962BC7"/>
    <w:rsid w:val="009647E5"/>
    <w:rsid w:val="00965F7D"/>
    <w:rsid w:val="009758A9"/>
    <w:rsid w:val="00982ADB"/>
    <w:rsid w:val="00983200"/>
    <w:rsid w:val="009838A5"/>
    <w:rsid w:val="009846DC"/>
    <w:rsid w:val="00986915"/>
    <w:rsid w:val="0099190F"/>
    <w:rsid w:val="0099245A"/>
    <w:rsid w:val="00993F11"/>
    <w:rsid w:val="00994351"/>
    <w:rsid w:val="0099455D"/>
    <w:rsid w:val="00995673"/>
    <w:rsid w:val="009A0E0C"/>
    <w:rsid w:val="009A10C8"/>
    <w:rsid w:val="009A1B39"/>
    <w:rsid w:val="009A1D1A"/>
    <w:rsid w:val="009A3F81"/>
    <w:rsid w:val="009A4DEC"/>
    <w:rsid w:val="009B4452"/>
    <w:rsid w:val="009B5D40"/>
    <w:rsid w:val="009B6A7C"/>
    <w:rsid w:val="009B7C8B"/>
    <w:rsid w:val="009C102D"/>
    <w:rsid w:val="009C1E5D"/>
    <w:rsid w:val="009C3AC5"/>
    <w:rsid w:val="009C592E"/>
    <w:rsid w:val="009C7F67"/>
    <w:rsid w:val="009D01A1"/>
    <w:rsid w:val="009D2228"/>
    <w:rsid w:val="009D3E04"/>
    <w:rsid w:val="009D52CF"/>
    <w:rsid w:val="009E389B"/>
    <w:rsid w:val="009E45D1"/>
    <w:rsid w:val="009E5727"/>
    <w:rsid w:val="009E5771"/>
    <w:rsid w:val="009F0C34"/>
    <w:rsid w:val="009F1382"/>
    <w:rsid w:val="009F479A"/>
    <w:rsid w:val="009F4F57"/>
    <w:rsid w:val="009F4F79"/>
    <w:rsid w:val="00A06D24"/>
    <w:rsid w:val="00A076F1"/>
    <w:rsid w:val="00A07DD0"/>
    <w:rsid w:val="00A1027B"/>
    <w:rsid w:val="00A1334B"/>
    <w:rsid w:val="00A13AAA"/>
    <w:rsid w:val="00A166E3"/>
    <w:rsid w:val="00A22DFA"/>
    <w:rsid w:val="00A24A42"/>
    <w:rsid w:val="00A273C2"/>
    <w:rsid w:val="00A27618"/>
    <w:rsid w:val="00A2765E"/>
    <w:rsid w:val="00A27BF2"/>
    <w:rsid w:val="00A300D4"/>
    <w:rsid w:val="00A37307"/>
    <w:rsid w:val="00A433A5"/>
    <w:rsid w:val="00A45B57"/>
    <w:rsid w:val="00A50A35"/>
    <w:rsid w:val="00A5240C"/>
    <w:rsid w:val="00A54E8D"/>
    <w:rsid w:val="00A55456"/>
    <w:rsid w:val="00A6142F"/>
    <w:rsid w:val="00A62144"/>
    <w:rsid w:val="00A623D6"/>
    <w:rsid w:val="00A67E88"/>
    <w:rsid w:val="00A74327"/>
    <w:rsid w:val="00A74DDF"/>
    <w:rsid w:val="00A76DF3"/>
    <w:rsid w:val="00A93419"/>
    <w:rsid w:val="00A93641"/>
    <w:rsid w:val="00A96BEF"/>
    <w:rsid w:val="00A97EC5"/>
    <w:rsid w:val="00AA2177"/>
    <w:rsid w:val="00AA38BF"/>
    <w:rsid w:val="00AA44F1"/>
    <w:rsid w:val="00AB1799"/>
    <w:rsid w:val="00AC2DC4"/>
    <w:rsid w:val="00AC5462"/>
    <w:rsid w:val="00AD19B7"/>
    <w:rsid w:val="00AD37BA"/>
    <w:rsid w:val="00AD7D5D"/>
    <w:rsid w:val="00AD7D8D"/>
    <w:rsid w:val="00AE1C7D"/>
    <w:rsid w:val="00AE56C1"/>
    <w:rsid w:val="00AE5C66"/>
    <w:rsid w:val="00AE6CEA"/>
    <w:rsid w:val="00AE754F"/>
    <w:rsid w:val="00AE75F7"/>
    <w:rsid w:val="00AF1BF1"/>
    <w:rsid w:val="00AF44E0"/>
    <w:rsid w:val="00AF77E3"/>
    <w:rsid w:val="00B03D1A"/>
    <w:rsid w:val="00B06AF3"/>
    <w:rsid w:val="00B1233A"/>
    <w:rsid w:val="00B131B4"/>
    <w:rsid w:val="00B15EFD"/>
    <w:rsid w:val="00B16E4F"/>
    <w:rsid w:val="00B177F5"/>
    <w:rsid w:val="00B21A81"/>
    <w:rsid w:val="00B21C30"/>
    <w:rsid w:val="00B224BF"/>
    <w:rsid w:val="00B23437"/>
    <w:rsid w:val="00B23722"/>
    <w:rsid w:val="00B24108"/>
    <w:rsid w:val="00B26186"/>
    <w:rsid w:val="00B26E0C"/>
    <w:rsid w:val="00B304B6"/>
    <w:rsid w:val="00B3456D"/>
    <w:rsid w:val="00B3628B"/>
    <w:rsid w:val="00B36DC9"/>
    <w:rsid w:val="00B404C1"/>
    <w:rsid w:val="00B4229B"/>
    <w:rsid w:val="00B42E4A"/>
    <w:rsid w:val="00B45BF5"/>
    <w:rsid w:val="00B50212"/>
    <w:rsid w:val="00B505B6"/>
    <w:rsid w:val="00B53A34"/>
    <w:rsid w:val="00B53FA4"/>
    <w:rsid w:val="00B543E0"/>
    <w:rsid w:val="00B550AA"/>
    <w:rsid w:val="00B55B5B"/>
    <w:rsid w:val="00B5705E"/>
    <w:rsid w:val="00B57357"/>
    <w:rsid w:val="00B60162"/>
    <w:rsid w:val="00B60485"/>
    <w:rsid w:val="00B611AB"/>
    <w:rsid w:val="00B61B9B"/>
    <w:rsid w:val="00B66FDC"/>
    <w:rsid w:val="00B72A58"/>
    <w:rsid w:val="00B75CC8"/>
    <w:rsid w:val="00B76320"/>
    <w:rsid w:val="00B7683B"/>
    <w:rsid w:val="00B76C2A"/>
    <w:rsid w:val="00B775BF"/>
    <w:rsid w:val="00B77F93"/>
    <w:rsid w:val="00B8387D"/>
    <w:rsid w:val="00B872DF"/>
    <w:rsid w:val="00B87B4F"/>
    <w:rsid w:val="00B87F43"/>
    <w:rsid w:val="00B9213E"/>
    <w:rsid w:val="00B9304B"/>
    <w:rsid w:val="00B9470D"/>
    <w:rsid w:val="00B9640F"/>
    <w:rsid w:val="00BA0A08"/>
    <w:rsid w:val="00BA1BBF"/>
    <w:rsid w:val="00BA307C"/>
    <w:rsid w:val="00BA34F6"/>
    <w:rsid w:val="00BB058D"/>
    <w:rsid w:val="00BB3FCB"/>
    <w:rsid w:val="00BB4BA7"/>
    <w:rsid w:val="00BB4FF2"/>
    <w:rsid w:val="00BC16C4"/>
    <w:rsid w:val="00BC42CA"/>
    <w:rsid w:val="00BC548A"/>
    <w:rsid w:val="00BE0596"/>
    <w:rsid w:val="00BE466A"/>
    <w:rsid w:val="00BE4771"/>
    <w:rsid w:val="00BE6B4F"/>
    <w:rsid w:val="00BE6B9E"/>
    <w:rsid w:val="00BE761C"/>
    <w:rsid w:val="00BF0E03"/>
    <w:rsid w:val="00BF1FB8"/>
    <w:rsid w:val="00BF2823"/>
    <w:rsid w:val="00BF369A"/>
    <w:rsid w:val="00C02058"/>
    <w:rsid w:val="00C04A00"/>
    <w:rsid w:val="00C053E4"/>
    <w:rsid w:val="00C07F8C"/>
    <w:rsid w:val="00C14C46"/>
    <w:rsid w:val="00C15DD7"/>
    <w:rsid w:val="00C17B86"/>
    <w:rsid w:val="00C2191B"/>
    <w:rsid w:val="00C2238B"/>
    <w:rsid w:val="00C235EE"/>
    <w:rsid w:val="00C241F0"/>
    <w:rsid w:val="00C26C31"/>
    <w:rsid w:val="00C30530"/>
    <w:rsid w:val="00C30BF0"/>
    <w:rsid w:val="00C32DD5"/>
    <w:rsid w:val="00C33AF8"/>
    <w:rsid w:val="00C35FEA"/>
    <w:rsid w:val="00C369B0"/>
    <w:rsid w:val="00C43394"/>
    <w:rsid w:val="00C44814"/>
    <w:rsid w:val="00C46118"/>
    <w:rsid w:val="00C46164"/>
    <w:rsid w:val="00C541EB"/>
    <w:rsid w:val="00C56863"/>
    <w:rsid w:val="00C5733E"/>
    <w:rsid w:val="00C600DC"/>
    <w:rsid w:val="00C6143B"/>
    <w:rsid w:val="00C63346"/>
    <w:rsid w:val="00C63FE2"/>
    <w:rsid w:val="00C653B6"/>
    <w:rsid w:val="00C7038C"/>
    <w:rsid w:val="00C72141"/>
    <w:rsid w:val="00C73813"/>
    <w:rsid w:val="00C73822"/>
    <w:rsid w:val="00C747F2"/>
    <w:rsid w:val="00C767E4"/>
    <w:rsid w:val="00C8063E"/>
    <w:rsid w:val="00C81098"/>
    <w:rsid w:val="00C81848"/>
    <w:rsid w:val="00C83EC0"/>
    <w:rsid w:val="00C8405F"/>
    <w:rsid w:val="00C84EBB"/>
    <w:rsid w:val="00C85762"/>
    <w:rsid w:val="00C8595D"/>
    <w:rsid w:val="00C918B3"/>
    <w:rsid w:val="00C91A95"/>
    <w:rsid w:val="00C95DE1"/>
    <w:rsid w:val="00C96D14"/>
    <w:rsid w:val="00C9742B"/>
    <w:rsid w:val="00C97550"/>
    <w:rsid w:val="00CA1B7E"/>
    <w:rsid w:val="00CA2A12"/>
    <w:rsid w:val="00CA4632"/>
    <w:rsid w:val="00CA5D9F"/>
    <w:rsid w:val="00CB533F"/>
    <w:rsid w:val="00CB5D8F"/>
    <w:rsid w:val="00CC0835"/>
    <w:rsid w:val="00CC3C3F"/>
    <w:rsid w:val="00CC7CF1"/>
    <w:rsid w:val="00CD0A58"/>
    <w:rsid w:val="00CD11FF"/>
    <w:rsid w:val="00CD163D"/>
    <w:rsid w:val="00CD68ED"/>
    <w:rsid w:val="00CD73D3"/>
    <w:rsid w:val="00CD7793"/>
    <w:rsid w:val="00CE227D"/>
    <w:rsid w:val="00CE2B23"/>
    <w:rsid w:val="00CE2D27"/>
    <w:rsid w:val="00CE391A"/>
    <w:rsid w:val="00CE39BA"/>
    <w:rsid w:val="00CE48BD"/>
    <w:rsid w:val="00CE5402"/>
    <w:rsid w:val="00CF1227"/>
    <w:rsid w:val="00CF481C"/>
    <w:rsid w:val="00CF5780"/>
    <w:rsid w:val="00D011EA"/>
    <w:rsid w:val="00D042F4"/>
    <w:rsid w:val="00D04D0A"/>
    <w:rsid w:val="00D078FF"/>
    <w:rsid w:val="00D079BC"/>
    <w:rsid w:val="00D14228"/>
    <w:rsid w:val="00D15AC6"/>
    <w:rsid w:val="00D17A7C"/>
    <w:rsid w:val="00D202F8"/>
    <w:rsid w:val="00D20666"/>
    <w:rsid w:val="00D22AE8"/>
    <w:rsid w:val="00D25A07"/>
    <w:rsid w:val="00D35F22"/>
    <w:rsid w:val="00D36D2F"/>
    <w:rsid w:val="00D43638"/>
    <w:rsid w:val="00D453DA"/>
    <w:rsid w:val="00D471FA"/>
    <w:rsid w:val="00D52EEA"/>
    <w:rsid w:val="00D54406"/>
    <w:rsid w:val="00D55F0D"/>
    <w:rsid w:val="00D626EA"/>
    <w:rsid w:val="00D65434"/>
    <w:rsid w:val="00D67F50"/>
    <w:rsid w:val="00D73989"/>
    <w:rsid w:val="00D80EBD"/>
    <w:rsid w:val="00D81E34"/>
    <w:rsid w:val="00D8251F"/>
    <w:rsid w:val="00D83BC4"/>
    <w:rsid w:val="00D83D8A"/>
    <w:rsid w:val="00D8412D"/>
    <w:rsid w:val="00D86AED"/>
    <w:rsid w:val="00D878F2"/>
    <w:rsid w:val="00D949B4"/>
    <w:rsid w:val="00D94B28"/>
    <w:rsid w:val="00D94D42"/>
    <w:rsid w:val="00D953B1"/>
    <w:rsid w:val="00DA022D"/>
    <w:rsid w:val="00DA0BD9"/>
    <w:rsid w:val="00DA0F1B"/>
    <w:rsid w:val="00DA1DBF"/>
    <w:rsid w:val="00DA48B7"/>
    <w:rsid w:val="00DA4DA0"/>
    <w:rsid w:val="00DA5E21"/>
    <w:rsid w:val="00DB42BE"/>
    <w:rsid w:val="00DB7CEA"/>
    <w:rsid w:val="00DC05FE"/>
    <w:rsid w:val="00DC11D3"/>
    <w:rsid w:val="00DC6A83"/>
    <w:rsid w:val="00DD1097"/>
    <w:rsid w:val="00DD2E17"/>
    <w:rsid w:val="00DD49A1"/>
    <w:rsid w:val="00DE130A"/>
    <w:rsid w:val="00DE21CB"/>
    <w:rsid w:val="00DE438D"/>
    <w:rsid w:val="00DE6783"/>
    <w:rsid w:val="00DE67E8"/>
    <w:rsid w:val="00DF18F7"/>
    <w:rsid w:val="00DF3128"/>
    <w:rsid w:val="00E01755"/>
    <w:rsid w:val="00E017F6"/>
    <w:rsid w:val="00E01B25"/>
    <w:rsid w:val="00E023FE"/>
    <w:rsid w:val="00E045EB"/>
    <w:rsid w:val="00E05ACD"/>
    <w:rsid w:val="00E05D5A"/>
    <w:rsid w:val="00E072B8"/>
    <w:rsid w:val="00E07517"/>
    <w:rsid w:val="00E07FBD"/>
    <w:rsid w:val="00E10C38"/>
    <w:rsid w:val="00E141E5"/>
    <w:rsid w:val="00E2009B"/>
    <w:rsid w:val="00E20B0D"/>
    <w:rsid w:val="00E2123B"/>
    <w:rsid w:val="00E22AB3"/>
    <w:rsid w:val="00E22C8F"/>
    <w:rsid w:val="00E2536F"/>
    <w:rsid w:val="00E26A42"/>
    <w:rsid w:val="00E27C03"/>
    <w:rsid w:val="00E3010B"/>
    <w:rsid w:val="00E31C1F"/>
    <w:rsid w:val="00E40035"/>
    <w:rsid w:val="00E41D1F"/>
    <w:rsid w:val="00E4672E"/>
    <w:rsid w:val="00E4710B"/>
    <w:rsid w:val="00E475DE"/>
    <w:rsid w:val="00E5014B"/>
    <w:rsid w:val="00E51B5C"/>
    <w:rsid w:val="00E51EE5"/>
    <w:rsid w:val="00E52CDF"/>
    <w:rsid w:val="00E52E52"/>
    <w:rsid w:val="00E54474"/>
    <w:rsid w:val="00E54A28"/>
    <w:rsid w:val="00E60EF6"/>
    <w:rsid w:val="00E6317C"/>
    <w:rsid w:val="00E648FD"/>
    <w:rsid w:val="00E64FD1"/>
    <w:rsid w:val="00E65C94"/>
    <w:rsid w:val="00E66B16"/>
    <w:rsid w:val="00E70072"/>
    <w:rsid w:val="00E715AE"/>
    <w:rsid w:val="00E71B82"/>
    <w:rsid w:val="00E7216F"/>
    <w:rsid w:val="00E72B52"/>
    <w:rsid w:val="00E74C5B"/>
    <w:rsid w:val="00E90B5E"/>
    <w:rsid w:val="00E91666"/>
    <w:rsid w:val="00E945F9"/>
    <w:rsid w:val="00E95B87"/>
    <w:rsid w:val="00E968AF"/>
    <w:rsid w:val="00EA42C6"/>
    <w:rsid w:val="00EA5357"/>
    <w:rsid w:val="00EA572F"/>
    <w:rsid w:val="00EA574E"/>
    <w:rsid w:val="00EA6A84"/>
    <w:rsid w:val="00EA7424"/>
    <w:rsid w:val="00EA764A"/>
    <w:rsid w:val="00EA79DC"/>
    <w:rsid w:val="00EB1B09"/>
    <w:rsid w:val="00EB6428"/>
    <w:rsid w:val="00EC0219"/>
    <w:rsid w:val="00EC0801"/>
    <w:rsid w:val="00EC0960"/>
    <w:rsid w:val="00EC0FF5"/>
    <w:rsid w:val="00EC1883"/>
    <w:rsid w:val="00EC5411"/>
    <w:rsid w:val="00EC6C82"/>
    <w:rsid w:val="00EC6F56"/>
    <w:rsid w:val="00EC6F9E"/>
    <w:rsid w:val="00ED0748"/>
    <w:rsid w:val="00ED58B5"/>
    <w:rsid w:val="00ED7CA3"/>
    <w:rsid w:val="00EE1474"/>
    <w:rsid w:val="00EE36B0"/>
    <w:rsid w:val="00EE4728"/>
    <w:rsid w:val="00EE5CAB"/>
    <w:rsid w:val="00EE7E0D"/>
    <w:rsid w:val="00EF7281"/>
    <w:rsid w:val="00F0018F"/>
    <w:rsid w:val="00F013C6"/>
    <w:rsid w:val="00F034B2"/>
    <w:rsid w:val="00F036AD"/>
    <w:rsid w:val="00F04199"/>
    <w:rsid w:val="00F07687"/>
    <w:rsid w:val="00F1139D"/>
    <w:rsid w:val="00F11A89"/>
    <w:rsid w:val="00F11CDD"/>
    <w:rsid w:val="00F124ED"/>
    <w:rsid w:val="00F15390"/>
    <w:rsid w:val="00F20040"/>
    <w:rsid w:val="00F22CA5"/>
    <w:rsid w:val="00F23175"/>
    <w:rsid w:val="00F2784F"/>
    <w:rsid w:val="00F31D74"/>
    <w:rsid w:val="00F402E8"/>
    <w:rsid w:val="00F441B9"/>
    <w:rsid w:val="00F44A4E"/>
    <w:rsid w:val="00F4691D"/>
    <w:rsid w:val="00F46A9C"/>
    <w:rsid w:val="00F526FE"/>
    <w:rsid w:val="00F5360A"/>
    <w:rsid w:val="00F54FD4"/>
    <w:rsid w:val="00F5618B"/>
    <w:rsid w:val="00F60570"/>
    <w:rsid w:val="00F6411C"/>
    <w:rsid w:val="00F65B7B"/>
    <w:rsid w:val="00F70D41"/>
    <w:rsid w:val="00F737FF"/>
    <w:rsid w:val="00F743C3"/>
    <w:rsid w:val="00F74D5C"/>
    <w:rsid w:val="00F76B16"/>
    <w:rsid w:val="00F812AA"/>
    <w:rsid w:val="00F82074"/>
    <w:rsid w:val="00F82EF4"/>
    <w:rsid w:val="00F86742"/>
    <w:rsid w:val="00F91F81"/>
    <w:rsid w:val="00F92778"/>
    <w:rsid w:val="00F960D1"/>
    <w:rsid w:val="00FA0727"/>
    <w:rsid w:val="00FA4ABA"/>
    <w:rsid w:val="00FB0BFF"/>
    <w:rsid w:val="00FB53EF"/>
    <w:rsid w:val="00FB5B12"/>
    <w:rsid w:val="00FB5D56"/>
    <w:rsid w:val="00FC349B"/>
    <w:rsid w:val="00FC3B73"/>
    <w:rsid w:val="00FD05EF"/>
    <w:rsid w:val="00FD186D"/>
    <w:rsid w:val="00FD357E"/>
    <w:rsid w:val="00FE1846"/>
    <w:rsid w:val="00FE1B8E"/>
    <w:rsid w:val="00FE1EB1"/>
    <w:rsid w:val="00FE5912"/>
    <w:rsid w:val="00FE5D94"/>
    <w:rsid w:val="00FE7587"/>
    <w:rsid w:val="00FF0A83"/>
    <w:rsid w:val="00FF1BAA"/>
    <w:rsid w:val="01672165"/>
    <w:rsid w:val="01B60997"/>
    <w:rsid w:val="02EEB154"/>
    <w:rsid w:val="03AD764F"/>
    <w:rsid w:val="04BE1013"/>
    <w:rsid w:val="062261AE"/>
    <w:rsid w:val="06761383"/>
    <w:rsid w:val="077C6CAB"/>
    <w:rsid w:val="07A1593E"/>
    <w:rsid w:val="07DB2536"/>
    <w:rsid w:val="08CF4D81"/>
    <w:rsid w:val="0904301B"/>
    <w:rsid w:val="0A696694"/>
    <w:rsid w:val="0AD5D3D8"/>
    <w:rsid w:val="0B2B77D7"/>
    <w:rsid w:val="0B3C14B0"/>
    <w:rsid w:val="0C96415B"/>
    <w:rsid w:val="0CB65074"/>
    <w:rsid w:val="0D324B68"/>
    <w:rsid w:val="0D745D2B"/>
    <w:rsid w:val="0DC46A73"/>
    <w:rsid w:val="0E1C3FF7"/>
    <w:rsid w:val="0E94058E"/>
    <w:rsid w:val="0FF7F488"/>
    <w:rsid w:val="107C119C"/>
    <w:rsid w:val="129901DA"/>
    <w:rsid w:val="12C64711"/>
    <w:rsid w:val="133B0D0B"/>
    <w:rsid w:val="142B434D"/>
    <w:rsid w:val="14331E76"/>
    <w:rsid w:val="15643EBB"/>
    <w:rsid w:val="15A20540"/>
    <w:rsid w:val="18023182"/>
    <w:rsid w:val="1B0A4434"/>
    <w:rsid w:val="1CEF2546"/>
    <w:rsid w:val="1D590DBC"/>
    <w:rsid w:val="1DA65BF0"/>
    <w:rsid w:val="1DBF9628"/>
    <w:rsid w:val="1DFA1234"/>
    <w:rsid w:val="1DFFBFE0"/>
    <w:rsid w:val="1E7D7482"/>
    <w:rsid w:val="1E9A7F81"/>
    <w:rsid w:val="1EDD3109"/>
    <w:rsid w:val="1FFCBA97"/>
    <w:rsid w:val="20657B13"/>
    <w:rsid w:val="20D45EA3"/>
    <w:rsid w:val="20DF47CB"/>
    <w:rsid w:val="22D43807"/>
    <w:rsid w:val="232BA446"/>
    <w:rsid w:val="23334270"/>
    <w:rsid w:val="23334578"/>
    <w:rsid w:val="2341058A"/>
    <w:rsid w:val="236C489A"/>
    <w:rsid w:val="23CC4D6F"/>
    <w:rsid w:val="24201EDC"/>
    <w:rsid w:val="246C5192"/>
    <w:rsid w:val="24950B75"/>
    <w:rsid w:val="24A216A6"/>
    <w:rsid w:val="25565D27"/>
    <w:rsid w:val="26256EA1"/>
    <w:rsid w:val="26A06F6E"/>
    <w:rsid w:val="26BE7862"/>
    <w:rsid w:val="26DD3EFD"/>
    <w:rsid w:val="276A6ABD"/>
    <w:rsid w:val="277DB615"/>
    <w:rsid w:val="27966C3B"/>
    <w:rsid w:val="27FB8B8A"/>
    <w:rsid w:val="299F1E59"/>
    <w:rsid w:val="2A6E402D"/>
    <w:rsid w:val="2A9C6F03"/>
    <w:rsid w:val="2AD40BD1"/>
    <w:rsid w:val="2B984CD4"/>
    <w:rsid w:val="2C286022"/>
    <w:rsid w:val="2CDD127A"/>
    <w:rsid w:val="2CE7ED09"/>
    <w:rsid w:val="2CF60089"/>
    <w:rsid w:val="2D7E69F8"/>
    <w:rsid w:val="2DBF0280"/>
    <w:rsid w:val="2DDFFEC0"/>
    <w:rsid w:val="2DFE7B2E"/>
    <w:rsid w:val="2EF6B686"/>
    <w:rsid w:val="2FFF9C15"/>
    <w:rsid w:val="303F594F"/>
    <w:rsid w:val="30AE44F5"/>
    <w:rsid w:val="30FF59C7"/>
    <w:rsid w:val="321603A4"/>
    <w:rsid w:val="32BC466C"/>
    <w:rsid w:val="333D67B4"/>
    <w:rsid w:val="33AFEAC9"/>
    <w:rsid w:val="33DFBBE6"/>
    <w:rsid w:val="33FF0734"/>
    <w:rsid w:val="33FF2D3D"/>
    <w:rsid w:val="34FC472E"/>
    <w:rsid w:val="35B96D0E"/>
    <w:rsid w:val="36FB2986"/>
    <w:rsid w:val="36FBA351"/>
    <w:rsid w:val="37483A77"/>
    <w:rsid w:val="37703A88"/>
    <w:rsid w:val="37FDDDBB"/>
    <w:rsid w:val="38C64F23"/>
    <w:rsid w:val="395B346A"/>
    <w:rsid w:val="3977080F"/>
    <w:rsid w:val="39F90391"/>
    <w:rsid w:val="3B0B6CC6"/>
    <w:rsid w:val="3B1F3908"/>
    <w:rsid w:val="3B5FCA7E"/>
    <w:rsid w:val="3BEFF4CB"/>
    <w:rsid w:val="3C7E15AD"/>
    <w:rsid w:val="3D7F2D07"/>
    <w:rsid w:val="3DEFC550"/>
    <w:rsid w:val="3E1B25A3"/>
    <w:rsid w:val="3EAD240E"/>
    <w:rsid w:val="3EED0739"/>
    <w:rsid w:val="3F736801"/>
    <w:rsid w:val="3F8B839F"/>
    <w:rsid w:val="3F9FF123"/>
    <w:rsid w:val="3FBE1AE7"/>
    <w:rsid w:val="3FDD7C87"/>
    <w:rsid w:val="3FDF7477"/>
    <w:rsid w:val="3FF774A6"/>
    <w:rsid w:val="3FFA26D0"/>
    <w:rsid w:val="3FFDD159"/>
    <w:rsid w:val="3FFE9542"/>
    <w:rsid w:val="3FFF4451"/>
    <w:rsid w:val="3FFFA0F5"/>
    <w:rsid w:val="443F2B04"/>
    <w:rsid w:val="457427E3"/>
    <w:rsid w:val="457D1A30"/>
    <w:rsid w:val="45B6583D"/>
    <w:rsid w:val="46776C06"/>
    <w:rsid w:val="46FE1419"/>
    <w:rsid w:val="47660391"/>
    <w:rsid w:val="485920B6"/>
    <w:rsid w:val="48CA64B8"/>
    <w:rsid w:val="49834CA2"/>
    <w:rsid w:val="49CA4084"/>
    <w:rsid w:val="49FB0DFC"/>
    <w:rsid w:val="4ABD382C"/>
    <w:rsid w:val="4AC5762D"/>
    <w:rsid w:val="4B722A00"/>
    <w:rsid w:val="4B7FA331"/>
    <w:rsid w:val="4BBEA646"/>
    <w:rsid w:val="4BC7831D"/>
    <w:rsid w:val="4C7FF8E0"/>
    <w:rsid w:val="4CD034F5"/>
    <w:rsid w:val="4DBDAEC2"/>
    <w:rsid w:val="4FF13DFE"/>
    <w:rsid w:val="5299062C"/>
    <w:rsid w:val="53265290"/>
    <w:rsid w:val="533F5D30"/>
    <w:rsid w:val="53FB66FF"/>
    <w:rsid w:val="548C5FED"/>
    <w:rsid w:val="555BCCCF"/>
    <w:rsid w:val="555C1004"/>
    <w:rsid w:val="56482F9B"/>
    <w:rsid w:val="57914A08"/>
    <w:rsid w:val="579748C4"/>
    <w:rsid w:val="57FF0FC9"/>
    <w:rsid w:val="57FFB3D0"/>
    <w:rsid w:val="5842740D"/>
    <w:rsid w:val="58C21ED8"/>
    <w:rsid w:val="593041E0"/>
    <w:rsid w:val="59354852"/>
    <w:rsid w:val="59B6638E"/>
    <w:rsid w:val="59EF0D32"/>
    <w:rsid w:val="59FFE684"/>
    <w:rsid w:val="5A6F058C"/>
    <w:rsid w:val="5AF7653C"/>
    <w:rsid w:val="5AFB2294"/>
    <w:rsid w:val="5B0950EB"/>
    <w:rsid w:val="5BDD4BC2"/>
    <w:rsid w:val="5BFB1078"/>
    <w:rsid w:val="5D2466DF"/>
    <w:rsid w:val="5D716A3E"/>
    <w:rsid w:val="5D9E2A07"/>
    <w:rsid w:val="5DEFDA71"/>
    <w:rsid w:val="5DFBE9A1"/>
    <w:rsid w:val="5E5C4A53"/>
    <w:rsid w:val="5EB70B2C"/>
    <w:rsid w:val="5ED640FE"/>
    <w:rsid w:val="5EF67E75"/>
    <w:rsid w:val="5F2FAB8E"/>
    <w:rsid w:val="5F46506B"/>
    <w:rsid w:val="5F7F375B"/>
    <w:rsid w:val="5FBF1A9D"/>
    <w:rsid w:val="5FBF753A"/>
    <w:rsid w:val="5FFB569D"/>
    <w:rsid w:val="5FFFA065"/>
    <w:rsid w:val="60324F33"/>
    <w:rsid w:val="61344E5D"/>
    <w:rsid w:val="613C3374"/>
    <w:rsid w:val="61512CF3"/>
    <w:rsid w:val="631A1183"/>
    <w:rsid w:val="63AD0DEC"/>
    <w:rsid w:val="63FE0BD5"/>
    <w:rsid w:val="64837769"/>
    <w:rsid w:val="66097669"/>
    <w:rsid w:val="666A6251"/>
    <w:rsid w:val="6677B3C0"/>
    <w:rsid w:val="66D4B2D6"/>
    <w:rsid w:val="66DF05F2"/>
    <w:rsid w:val="679A2F12"/>
    <w:rsid w:val="67FDD77D"/>
    <w:rsid w:val="683339B8"/>
    <w:rsid w:val="68540EE4"/>
    <w:rsid w:val="69AD54D1"/>
    <w:rsid w:val="6AA46197"/>
    <w:rsid w:val="6AC5A936"/>
    <w:rsid w:val="6AE46CF7"/>
    <w:rsid w:val="6B61016D"/>
    <w:rsid w:val="6BBCFA90"/>
    <w:rsid w:val="6BBDB906"/>
    <w:rsid w:val="6BCE785E"/>
    <w:rsid w:val="6BDE3B13"/>
    <w:rsid w:val="6BFB148C"/>
    <w:rsid w:val="6BFFC0FA"/>
    <w:rsid w:val="6C684FFC"/>
    <w:rsid w:val="6CFBF019"/>
    <w:rsid w:val="6D5F643B"/>
    <w:rsid w:val="6D5F7533"/>
    <w:rsid w:val="6D7E51B5"/>
    <w:rsid w:val="6D7E5202"/>
    <w:rsid w:val="6D896FC3"/>
    <w:rsid w:val="6DA96D41"/>
    <w:rsid w:val="6DBD4A41"/>
    <w:rsid w:val="6DBF0909"/>
    <w:rsid w:val="6DEF788C"/>
    <w:rsid w:val="6E74592C"/>
    <w:rsid w:val="6E9FE437"/>
    <w:rsid w:val="6EDF97BE"/>
    <w:rsid w:val="6EEADB06"/>
    <w:rsid w:val="6EEE6673"/>
    <w:rsid w:val="6EEEC558"/>
    <w:rsid w:val="6F1442BF"/>
    <w:rsid w:val="6F1791B1"/>
    <w:rsid w:val="6F55B589"/>
    <w:rsid w:val="6F5FC07C"/>
    <w:rsid w:val="6F7F2AF8"/>
    <w:rsid w:val="6FAD1D27"/>
    <w:rsid w:val="6FBF8CE8"/>
    <w:rsid w:val="6FBFD5B9"/>
    <w:rsid w:val="6FDAF579"/>
    <w:rsid w:val="6FEFCF14"/>
    <w:rsid w:val="6FFE9954"/>
    <w:rsid w:val="6FFEB9B4"/>
    <w:rsid w:val="6FFFF151"/>
    <w:rsid w:val="70EC273E"/>
    <w:rsid w:val="70F02712"/>
    <w:rsid w:val="717E17A4"/>
    <w:rsid w:val="71B4614A"/>
    <w:rsid w:val="71EC40BC"/>
    <w:rsid w:val="72294EDE"/>
    <w:rsid w:val="724D5408"/>
    <w:rsid w:val="737F37D0"/>
    <w:rsid w:val="737FFC41"/>
    <w:rsid w:val="73F2C989"/>
    <w:rsid w:val="73FFE860"/>
    <w:rsid w:val="740D4274"/>
    <w:rsid w:val="74341C53"/>
    <w:rsid w:val="74486D25"/>
    <w:rsid w:val="744FDA60"/>
    <w:rsid w:val="74A04EFA"/>
    <w:rsid w:val="74E03A89"/>
    <w:rsid w:val="756F726D"/>
    <w:rsid w:val="75AEB7BF"/>
    <w:rsid w:val="75BAD9C5"/>
    <w:rsid w:val="76446012"/>
    <w:rsid w:val="764FA9EA"/>
    <w:rsid w:val="776972E8"/>
    <w:rsid w:val="77921091"/>
    <w:rsid w:val="77DFAE2D"/>
    <w:rsid w:val="77F6778E"/>
    <w:rsid w:val="77F99C9A"/>
    <w:rsid w:val="77FC5431"/>
    <w:rsid w:val="77FF38C1"/>
    <w:rsid w:val="77FF4340"/>
    <w:rsid w:val="78F63E83"/>
    <w:rsid w:val="79BF2C31"/>
    <w:rsid w:val="79D258CB"/>
    <w:rsid w:val="7AB2D1B7"/>
    <w:rsid w:val="7AFD18F4"/>
    <w:rsid w:val="7B171BFC"/>
    <w:rsid w:val="7B3FF126"/>
    <w:rsid w:val="7B537B3F"/>
    <w:rsid w:val="7B5F8123"/>
    <w:rsid w:val="7B7B51BC"/>
    <w:rsid w:val="7B7FE604"/>
    <w:rsid w:val="7BD70D98"/>
    <w:rsid w:val="7BDCEC33"/>
    <w:rsid w:val="7BF7E5AA"/>
    <w:rsid w:val="7BFFE6F9"/>
    <w:rsid w:val="7C23124E"/>
    <w:rsid w:val="7C4566C3"/>
    <w:rsid w:val="7C9E79CF"/>
    <w:rsid w:val="7CF92F3F"/>
    <w:rsid w:val="7D74A9A0"/>
    <w:rsid w:val="7DBE28CC"/>
    <w:rsid w:val="7DD3A2B0"/>
    <w:rsid w:val="7DDD4882"/>
    <w:rsid w:val="7DE78548"/>
    <w:rsid w:val="7DFD67F6"/>
    <w:rsid w:val="7DFF2C4C"/>
    <w:rsid w:val="7DFF2CC9"/>
    <w:rsid w:val="7E37F60F"/>
    <w:rsid w:val="7E57C3D2"/>
    <w:rsid w:val="7E667ECA"/>
    <w:rsid w:val="7E6F9FF0"/>
    <w:rsid w:val="7E7EB8D7"/>
    <w:rsid w:val="7E7FF10C"/>
    <w:rsid w:val="7EB6BBEF"/>
    <w:rsid w:val="7EBB7A99"/>
    <w:rsid w:val="7ED3EC0C"/>
    <w:rsid w:val="7EF07089"/>
    <w:rsid w:val="7EF94D75"/>
    <w:rsid w:val="7F1F2CA6"/>
    <w:rsid w:val="7F5F5E3D"/>
    <w:rsid w:val="7F6D8D20"/>
    <w:rsid w:val="7F6E23D0"/>
    <w:rsid w:val="7F79B006"/>
    <w:rsid w:val="7F7C56C7"/>
    <w:rsid w:val="7F7F2DE9"/>
    <w:rsid w:val="7F8205CA"/>
    <w:rsid w:val="7F8F7DD5"/>
    <w:rsid w:val="7FA01A55"/>
    <w:rsid w:val="7FBBA900"/>
    <w:rsid w:val="7FBC29AA"/>
    <w:rsid w:val="7FC41805"/>
    <w:rsid w:val="7FD32429"/>
    <w:rsid w:val="7FD9176F"/>
    <w:rsid w:val="7FDAD087"/>
    <w:rsid w:val="7FDBC6BC"/>
    <w:rsid w:val="7FDE7852"/>
    <w:rsid w:val="7FDF8136"/>
    <w:rsid w:val="7FE028C7"/>
    <w:rsid w:val="7FEFD6D8"/>
    <w:rsid w:val="7FF13182"/>
    <w:rsid w:val="7FF3BD94"/>
    <w:rsid w:val="7FF73E5C"/>
    <w:rsid w:val="7FFAC584"/>
    <w:rsid w:val="7FFBDB63"/>
    <w:rsid w:val="7FFC46AA"/>
    <w:rsid w:val="7FFE6655"/>
    <w:rsid w:val="7FFF10CE"/>
    <w:rsid w:val="8BDD7E7E"/>
    <w:rsid w:val="8F1FB873"/>
    <w:rsid w:val="96D1347B"/>
    <w:rsid w:val="97665D07"/>
    <w:rsid w:val="97FCA347"/>
    <w:rsid w:val="97FF5C0A"/>
    <w:rsid w:val="98B3FFBC"/>
    <w:rsid w:val="99EF65AA"/>
    <w:rsid w:val="9BEE92CC"/>
    <w:rsid w:val="9CBACABA"/>
    <w:rsid w:val="9DF3BA20"/>
    <w:rsid w:val="9EF9FD77"/>
    <w:rsid w:val="9EFA5B3B"/>
    <w:rsid w:val="9F45975E"/>
    <w:rsid w:val="9F5562B6"/>
    <w:rsid w:val="A4F757A3"/>
    <w:rsid w:val="A5F9AB52"/>
    <w:rsid w:val="A973A298"/>
    <w:rsid w:val="A9F1565F"/>
    <w:rsid w:val="AA5FED32"/>
    <w:rsid w:val="ABBFC96F"/>
    <w:rsid w:val="AD7F8300"/>
    <w:rsid w:val="ADCE344C"/>
    <w:rsid w:val="AEFA7C54"/>
    <w:rsid w:val="AFF5D9CB"/>
    <w:rsid w:val="AFFA1909"/>
    <w:rsid w:val="B1F2F6BC"/>
    <w:rsid w:val="B4BD7058"/>
    <w:rsid w:val="B4FFE073"/>
    <w:rsid w:val="B6DE72AC"/>
    <w:rsid w:val="B77F4DDB"/>
    <w:rsid w:val="B7D2F4A1"/>
    <w:rsid w:val="B9F82AD7"/>
    <w:rsid w:val="BAB81C40"/>
    <w:rsid w:val="BBFE5E19"/>
    <w:rsid w:val="BC3F08B9"/>
    <w:rsid w:val="BD730025"/>
    <w:rsid w:val="BDB73CD8"/>
    <w:rsid w:val="BDDBD02B"/>
    <w:rsid w:val="BDF7DA82"/>
    <w:rsid w:val="BEEEFCA8"/>
    <w:rsid w:val="BEF97B40"/>
    <w:rsid w:val="BEFBEF39"/>
    <w:rsid w:val="BF7CAB33"/>
    <w:rsid w:val="BFB064EB"/>
    <w:rsid w:val="BFBB8B0B"/>
    <w:rsid w:val="BFDD9819"/>
    <w:rsid w:val="BFDE48B9"/>
    <w:rsid w:val="BFEF259E"/>
    <w:rsid w:val="BFF787AD"/>
    <w:rsid w:val="BFF7CB7A"/>
    <w:rsid w:val="C3FF8E74"/>
    <w:rsid w:val="C7DFC6F8"/>
    <w:rsid w:val="C8DF3D0A"/>
    <w:rsid w:val="C975D1B1"/>
    <w:rsid w:val="CBF64DF0"/>
    <w:rsid w:val="CCFDD371"/>
    <w:rsid w:val="CDA37DF9"/>
    <w:rsid w:val="CDF5723C"/>
    <w:rsid w:val="CE48D28F"/>
    <w:rsid w:val="CFFF3520"/>
    <w:rsid w:val="CFFF4756"/>
    <w:rsid w:val="CFFFE269"/>
    <w:rsid w:val="D3BFEFAF"/>
    <w:rsid w:val="D5FAE349"/>
    <w:rsid w:val="D5FE63FA"/>
    <w:rsid w:val="D6FFC9F4"/>
    <w:rsid w:val="D76B198A"/>
    <w:rsid w:val="D7BF9961"/>
    <w:rsid w:val="D7DD0E72"/>
    <w:rsid w:val="D81FC9B6"/>
    <w:rsid w:val="DA7FBD02"/>
    <w:rsid w:val="DAEDD452"/>
    <w:rsid w:val="DDA9B516"/>
    <w:rsid w:val="DDBFD4E4"/>
    <w:rsid w:val="DDD7224F"/>
    <w:rsid w:val="DDEF7737"/>
    <w:rsid w:val="DDF177CE"/>
    <w:rsid w:val="DDF99D67"/>
    <w:rsid w:val="DDFB6AA5"/>
    <w:rsid w:val="DE77CB95"/>
    <w:rsid w:val="DE7D3820"/>
    <w:rsid w:val="DEBDF702"/>
    <w:rsid w:val="DEDFAACD"/>
    <w:rsid w:val="DEF13B85"/>
    <w:rsid w:val="DF2787D8"/>
    <w:rsid w:val="DF756D05"/>
    <w:rsid w:val="DF77D296"/>
    <w:rsid w:val="DF7DD4EE"/>
    <w:rsid w:val="DF7E3BFD"/>
    <w:rsid w:val="DF7F2680"/>
    <w:rsid w:val="DFAB9189"/>
    <w:rsid w:val="DFB7472D"/>
    <w:rsid w:val="DFBD4E98"/>
    <w:rsid w:val="DFBDA1A7"/>
    <w:rsid w:val="DFCF99AF"/>
    <w:rsid w:val="DFDBE6B2"/>
    <w:rsid w:val="DFDECC87"/>
    <w:rsid w:val="DFEF6946"/>
    <w:rsid w:val="DFFB04D6"/>
    <w:rsid w:val="DFFBFB83"/>
    <w:rsid w:val="DFFDA269"/>
    <w:rsid w:val="DFFF01D3"/>
    <w:rsid w:val="E19F6088"/>
    <w:rsid w:val="E3BFCAE6"/>
    <w:rsid w:val="E4DD0335"/>
    <w:rsid w:val="E5F5ECF1"/>
    <w:rsid w:val="E7AB02E8"/>
    <w:rsid w:val="E7FFF881"/>
    <w:rsid w:val="E9BB697C"/>
    <w:rsid w:val="EBBF93ED"/>
    <w:rsid w:val="EBD79BBD"/>
    <w:rsid w:val="ED6FCBD3"/>
    <w:rsid w:val="ED8FFF63"/>
    <w:rsid w:val="EDAE9341"/>
    <w:rsid w:val="EE4E2DC9"/>
    <w:rsid w:val="EE7ADDAA"/>
    <w:rsid w:val="EE932A79"/>
    <w:rsid w:val="EED71C44"/>
    <w:rsid w:val="EED7F08D"/>
    <w:rsid w:val="EEFB2970"/>
    <w:rsid w:val="EF7F398D"/>
    <w:rsid w:val="EF99BD92"/>
    <w:rsid w:val="EFDC5706"/>
    <w:rsid w:val="EFDC9BE8"/>
    <w:rsid w:val="EFE620E2"/>
    <w:rsid w:val="EFEF83E7"/>
    <w:rsid w:val="EFF3DFAC"/>
    <w:rsid w:val="EFFB0996"/>
    <w:rsid w:val="EFFB9E96"/>
    <w:rsid w:val="EFFD5A5A"/>
    <w:rsid w:val="EFFD7EE8"/>
    <w:rsid w:val="F1BBAFFB"/>
    <w:rsid w:val="F3EEA580"/>
    <w:rsid w:val="F3FB6542"/>
    <w:rsid w:val="F3FEAE2C"/>
    <w:rsid w:val="F3FFD3C0"/>
    <w:rsid w:val="F4B921E3"/>
    <w:rsid w:val="F5BB3F2A"/>
    <w:rsid w:val="F67F70B6"/>
    <w:rsid w:val="F7731164"/>
    <w:rsid w:val="F77DFDCA"/>
    <w:rsid w:val="F7B36E07"/>
    <w:rsid w:val="F7BBB78E"/>
    <w:rsid w:val="F7DF7B82"/>
    <w:rsid w:val="F7E72245"/>
    <w:rsid w:val="F7EED5EC"/>
    <w:rsid w:val="F7EF1D8F"/>
    <w:rsid w:val="F7EFAEBC"/>
    <w:rsid w:val="F7F5FD1A"/>
    <w:rsid w:val="F7F8C575"/>
    <w:rsid w:val="F7FBC844"/>
    <w:rsid w:val="F7FC36A1"/>
    <w:rsid w:val="F7FCC809"/>
    <w:rsid w:val="F7FF5EF4"/>
    <w:rsid w:val="F89F6CCB"/>
    <w:rsid w:val="F8E554EA"/>
    <w:rsid w:val="F9DF6164"/>
    <w:rsid w:val="F9E59369"/>
    <w:rsid w:val="F9EB0A7C"/>
    <w:rsid w:val="F9EF7F5E"/>
    <w:rsid w:val="FAF479CD"/>
    <w:rsid w:val="FB3DE959"/>
    <w:rsid w:val="FB4FE589"/>
    <w:rsid w:val="FB6EAE56"/>
    <w:rsid w:val="FB999A1C"/>
    <w:rsid w:val="FBAF18E3"/>
    <w:rsid w:val="FBBB9F36"/>
    <w:rsid w:val="FBBF7BA5"/>
    <w:rsid w:val="FBBFD6FE"/>
    <w:rsid w:val="FBD731FF"/>
    <w:rsid w:val="FBDFE755"/>
    <w:rsid w:val="FBEF39E0"/>
    <w:rsid w:val="FBFB47EF"/>
    <w:rsid w:val="FBFFA35F"/>
    <w:rsid w:val="FD3D066F"/>
    <w:rsid w:val="FD55A6E6"/>
    <w:rsid w:val="FD77ADE0"/>
    <w:rsid w:val="FD7EFC9A"/>
    <w:rsid w:val="FDA592BD"/>
    <w:rsid w:val="FDEED111"/>
    <w:rsid w:val="FDFB0A4B"/>
    <w:rsid w:val="FDFF80A7"/>
    <w:rsid w:val="FE2EC9D9"/>
    <w:rsid w:val="FE7A7805"/>
    <w:rsid w:val="FE7F4C3C"/>
    <w:rsid w:val="FE7FC515"/>
    <w:rsid w:val="FEBD062E"/>
    <w:rsid w:val="FEBF9237"/>
    <w:rsid w:val="FEE5B5D5"/>
    <w:rsid w:val="FEE77550"/>
    <w:rsid w:val="FEE9B08F"/>
    <w:rsid w:val="FEEB4BD6"/>
    <w:rsid w:val="FEF23D98"/>
    <w:rsid w:val="FEF3BA19"/>
    <w:rsid w:val="FEF64D16"/>
    <w:rsid w:val="FEFB7A37"/>
    <w:rsid w:val="FEFE4DB1"/>
    <w:rsid w:val="FEFF1605"/>
    <w:rsid w:val="FEFFD914"/>
    <w:rsid w:val="FF35B848"/>
    <w:rsid w:val="FF3F3203"/>
    <w:rsid w:val="FF535DD3"/>
    <w:rsid w:val="FF570055"/>
    <w:rsid w:val="FF754378"/>
    <w:rsid w:val="FF7F35CF"/>
    <w:rsid w:val="FF7FD19E"/>
    <w:rsid w:val="FF8BE7DA"/>
    <w:rsid w:val="FFA1AE8A"/>
    <w:rsid w:val="FFA5112C"/>
    <w:rsid w:val="FFA75031"/>
    <w:rsid w:val="FFB5B477"/>
    <w:rsid w:val="FFB5C504"/>
    <w:rsid w:val="FFBD64F4"/>
    <w:rsid w:val="FFD5CFD6"/>
    <w:rsid w:val="FFD70CCE"/>
    <w:rsid w:val="FFD77DED"/>
    <w:rsid w:val="FFDD465D"/>
    <w:rsid w:val="FFDDE1BB"/>
    <w:rsid w:val="FFDF6C13"/>
    <w:rsid w:val="FFF331EC"/>
    <w:rsid w:val="FFF5E325"/>
    <w:rsid w:val="FFF8470D"/>
    <w:rsid w:val="FFF95223"/>
    <w:rsid w:val="FFFB3056"/>
    <w:rsid w:val="FFFDA3DB"/>
    <w:rsid w:val="FFFF51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63"/>
    <w:qFormat/>
    <w:uiPriority w:val="9"/>
    <w:pPr>
      <w:keepNext/>
      <w:keepLines/>
      <w:widowControl w:val="0"/>
      <w:spacing w:before="340" w:after="330" w:line="578" w:lineRule="auto"/>
      <w:jc w:val="both"/>
      <w:outlineLvl w:val="0"/>
    </w:pPr>
    <w:rPr>
      <w:rFonts w:asciiTheme="minorHAnsi" w:hAnsiTheme="minorHAnsi" w:eastAsiaTheme="minorEastAsia" w:cstheme="minorBidi"/>
      <w:b/>
      <w:bCs/>
      <w:kern w:val="44"/>
      <w:sz w:val="44"/>
      <w:szCs w:val="44"/>
    </w:rPr>
  </w:style>
  <w:style w:type="paragraph" w:styleId="3">
    <w:name w:val="heading 2"/>
    <w:basedOn w:val="1"/>
    <w:next w:val="1"/>
    <w:link w:val="66"/>
    <w:unhideWhenUsed/>
    <w:qFormat/>
    <w:uiPriority w:val="0"/>
    <w:pPr>
      <w:keepNext/>
      <w:keepLines/>
      <w:widowControl w:val="0"/>
      <w:spacing w:before="260" w:after="260" w:line="416" w:lineRule="auto"/>
      <w:jc w:val="both"/>
      <w:outlineLvl w:val="1"/>
    </w:pPr>
    <w:rPr>
      <w:rFonts w:asciiTheme="majorHAnsi" w:hAnsiTheme="majorHAnsi" w:eastAsiaTheme="majorEastAsia" w:cstheme="majorBidi"/>
      <w:b/>
      <w:bCs/>
      <w:kern w:val="2"/>
      <w:sz w:val="32"/>
      <w:szCs w:val="32"/>
    </w:rPr>
  </w:style>
  <w:style w:type="paragraph" w:styleId="4">
    <w:name w:val="heading 3"/>
    <w:basedOn w:val="1"/>
    <w:next w:val="1"/>
    <w:link w:val="79"/>
    <w:unhideWhenUsed/>
    <w:qFormat/>
    <w:uiPriority w:val="0"/>
    <w:pPr>
      <w:keepNext/>
      <w:keepLines/>
      <w:widowControl w:val="0"/>
      <w:spacing w:before="260" w:after="260" w:line="416" w:lineRule="auto"/>
      <w:jc w:val="both"/>
      <w:outlineLvl w:val="2"/>
    </w:pPr>
    <w:rPr>
      <w:rFonts w:asciiTheme="minorHAnsi" w:hAnsiTheme="minorHAnsi" w:eastAsiaTheme="minorEastAsia" w:cstheme="minorBidi"/>
      <w:b/>
      <w:bCs/>
      <w:kern w:val="2"/>
      <w:sz w:val="30"/>
      <w:szCs w:val="32"/>
    </w:rPr>
  </w:style>
  <w:style w:type="paragraph" w:styleId="5">
    <w:name w:val="heading 4"/>
    <w:basedOn w:val="1"/>
    <w:next w:val="1"/>
    <w:link w:val="42"/>
    <w:unhideWhenUsed/>
    <w:qFormat/>
    <w:uiPriority w:val="0"/>
    <w:pPr>
      <w:keepNext/>
      <w:keepLines/>
      <w:widowControl w:val="0"/>
      <w:spacing w:before="280" w:after="290" w:line="376" w:lineRule="auto"/>
      <w:jc w:val="both"/>
      <w:outlineLvl w:val="3"/>
    </w:pPr>
    <w:rPr>
      <w:rFonts w:asciiTheme="majorHAnsi" w:hAnsiTheme="majorHAnsi" w:eastAsiaTheme="majorEastAsia" w:cstheme="majorBidi"/>
      <w:b/>
      <w:bCs/>
      <w:kern w:val="2"/>
      <w:sz w:val="28"/>
      <w:szCs w:val="28"/>
    </w:rPr>
  </w:style>
  <w:style w:type="paragraph" w:styleId="6">
    <w:name w:val="heading 5"/>
    <w:basedOn w:val="1"/>
    <w:next w:val="1"/>
    <w:link w:val="67"/>
    <w:unhideWhenUsed/>
    <w:qFormat/>
    <w:uiPriority w:val="0"/>
    <w:pPr>
      <w:keepNext/>
      <w:keepLines/>
      <w:widowControl w:val="0"/>
      <w:spacing w:before="280" w:after="290" w:line="376" w:lineRule="auto"/>
      <w:jc w:val="both"/>
      <w:outlineLvl w:val="4"/>
    </w:pPr>
    <w:rPr>
      <w:rFonts w:asciiTheme="minorHAnsi" w:hAnsiTheme="minorHAnsi" w:eastAsiaTheme="minorEastAsia" w:cstheme="minorBidi"/>
      <w:b/>
      <w:bCs/>
      <w:kern w:val="2"/>
      <w:sz w:val="28"/>
      <w:szCs w:val="28"/>
    </w:rPr>
  </w:style>
  <w:style w:type="paragraph" w:styleId="7">
    <w:name w:val="heading 6"/>
    <w:basedOn w:val="1"/>
    <w:next w:val="1"/>
    <w:link w:val="38"/>
    <w:unhideWhenUsed/>
    <w:qFormat/>
    <w:uiPriority w:val="0"/>
    <w:pPr>
      <w:keepNext/>
      <w:keepLines/>
      <w:widowControl w:val="0"/>
      <w:spacing w:before="240" w:after="64" w:line="320" w:lineRule="auto"/>
      <w:jc w:val="both"/>
      <w:outlineLvl w:val="5"/>
    </w:pPr>
    <w:rPr>
      <w:rFonts w:asciiTheme="majorHAnsi" w:hAnsiTheme="majorHAnsi" w:eastAsiaTheme="majorEastAsia" w:cstheme="majorBidi"/>
      <w:b/>
      <w:bCs/>
      <w:kern w:val="2"/>
    </w:rPr>
  </w:style>
  <w:style w:type="paragraph" w:styleId="8">
    <w:name w:val="heading 7"/>
    <w:basedOn w:val="1"/>
    <w:next w:val="1"/>
    <w:link w:val="59"/>
    <w:unhideWhenUsed/>
    <w:qFormat/>
    <w:uiPriority w:val="0"/>
    <w:pPr>
      <w:keepNext/>
      <w:keepLines/>
      <w:widowControl w:val="0"/>
      <w:spacing w:before="240" w:after="64" w:line="320" w:lineRule="auto"/>
      <w:jc w:val="both"/>
      <w:outlineLvl w:val="6"/>
    </w:pPr>
    <w:rPr>
      <w:rFonts w:asciiTheme="minorHAnsi" w:hAnsiTheme="minorHAnsi" w:eastAsiaTheme="minorEastAsia" w:cstheme="minorBidi"/>
      <w:b/>
      <w:bCs/>
      <w:kern w:val="2"/>
    </w:rPr>
  </w:style>
  <w:style w:type="paragraph" w:styleId="9">
    <w:name w:val="heading 8"/>
    <w:basedOn w:val="1"/>
    <w:next w:val="1"/>
    <w:link w:val="46"/>
    <w:qFormat/>
    <w:uiPriority w:val="0"/>
    <w:pPr>
      <w:keepNext/>
      <w:keepLines/>
      <w:widowControl w:val="0"/>
      <w:spacing w:before="240" w:after="64" w:line="320" w:lineRule="auto"/>
      <w:ind w:left="824" w:hanging="1440"/>
      <w:jc w:val="both"/>
      <w:outlineLvl w:val="7"/>
    </w:pPr>
    <w:rPr>
      <w:rFonts w:ascii="Arial" w:hAnsi="Arial" w:eastAsia="黑体" w:cs="Times New Roman"/>
      <w:kern w:val="2"/>
    </w:rPr>
  </w:style>
  <w:style w:type="paragraph" w:styleId="10">
    <w:name w:val="heading 9"/>
    <w:basedOn w:val="1"/>
    <w:next w:val="1"/>
    <w:link w:val="85"/>
    <w:qFormat/>
    <w:uiPriority w:val="0"/>
    <w:pPr>
      <w:keepNext/>
      <w:keepLines/>
      <w:widowControl w:val="0"/>
      <w:spacing w:before="240" w:after="64" w:line="320" w:lineRule="auto"/>
      <w:ind w:left="968" w:hanging="1584"/>
      <w:jc w:val="both"/>
      <w:outlineLvl w:val="8"/>
    </w:pPr>
    <w:rPr>
      <w:rFonts w:ascii="Arial" w:hAnsi="Arial" w:eastAsia="黑体" w:cs="Times New Roman"/>
      <w:kern w:val="2"/>
      <w:sz w:val="21"/>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76"/>
    <w:qFormat/>
    <w:uiPriority w:val="99"/>
    <w:pPr>
      <w:widowControl w:val="0"/>
      <w:ind w:firstLine="420"/>
      <w:jc w:val="both"/>
    </w:pPr>
    <w:rPr>
      <w:rFonts w:ascii="Times New Roman" w:hAnsi="Times New Roman" w:eastAsia="仿宋_GB2312" w:cs="Times New Roman"/>
      <w:kern w:val="2"/>
      <w:szCs w:val="20"/>
    </w:rPr>
  </w:style>
  <w:style w:type="paragraph" w:styleId="12">
    <w:name w:val="Document Map"/>
    <w:basedOn w:val="1"/>
    <w:link w:val="60"/>
    <w:unhideWhenUsed/>
    <w:qFormat/>
    <w:uiPriority w:val="99"/>
    <w:pPr>
      <w:widowControl w:val="0"/>
      <w:jc w:val="both"/>
    </w:pPr>
    <w:rPr>
      <w:rFonts w:hAnsiTheme="minorHAnsi" w:cstheme="minorBidi"/>
      <w:kern w:val="2"/>
    </w:rPr>
  </w:style>
  <w:style w:type="paragraph" w:styleId="13">
    <w:name w:val="annotation text"/>
    <w:basedOn w:val="1"/>
    <w:link w:val="43"/>
    <w:unhideWhenUsed/>
    <w:qFormat/>
    <w:uiPriority w:val="99"/>
    <w:pPr>
      <w:widowControl w:val="0"/>
    </w:pPr>
    <w:rPr>
      <w:rFonts w:asciiTheme="minorHAnsi" w:hAnsiTheme="minorHAnsi" w:eastAsiaTheme="minorEastAsia" w:cstheme="minorBidi"/>
      <w:kern w:val="2"/>
      <w:sz w:val="21"/>
      <w:szCs w:val="22"/>
    </w:rPr>
  </w:style>
  <w:style w:type="paragraph" w:styleId="14">
    <w:name w:val="Body Text"/>
    <w:basedOn w:val="1"/>
    <w:next w:val="1"/>
    <w:link w:val="69"/>
    <w:unhideWhenUsed/>
    <w:qFormat/>
    <w:uiPriority w:val="99"/>
    <w:pPr>
      <w:widowControl w:val="0"/>
      <w:spacing w:after="120"/>
      <w:jc w:val="both"/>
    </w:pPr>
    <w:rPr>
      <w:rFonts w:asciiTheme="minorHAnsi" w:hAnsiTheme="minorHAnsi" w:eastAsiaTheme="minorEastAsia" w:cstheme="minorBidi"/>
      <w:kern w:val="2"/>
      <w:sz w:val="21"/>
      <w:szCs w:val="22"/>
    </w:rPr>
  </w:style>
  <w:style w:type="paragraph" w:styleId="15">
    <w:name w:val="Body Text Indent"/>
    <w:basedOn w:val="1"/>
    <w:link w:val="72"/>
    <w:unhideWhenUsed/>
    <w:qFormat/>
    <w:uiPriority w:val="99"/>
    <w:pPr>
      <w:widowControl w:val="0"/>
      <w:spacing w:after="120"/>
      <w:ind w:left="420" w:leftChars="200"/>
      <w:jc w:val="both"/>
    </w:pPr>
    <w:rPr>
      <w:rFonts w:asciiTheme="minorHAnsi" w:hAnsiTheme="minorHAnsi" w:eastAsiaTheme="minorEastAsia" w:cstheme="minorBidi"/>
      <w:kern w:val="2"/>
      <w:sz w:val="21"/>
      <w:szCs w:val="22"/>
    </w:rPr>
  </w:style>
  <w:style w:type="paragraph" w:styleId="16">
    <w:name w:val="toc 3"/>
    <w:basedOn w:val="1"/>
    <w:next w:val="1"/>
    <w:unhideWhenUsed/>
    <w:qFormat/>
    <w:uiPriority w:val="39"/>
    <w:pPr>
      <w:spacing w:after="100" w:line="259" w:lineRule="auto"/>
      <w:ind w:left="440"/>
    </w:pPr>
    <w:rPr>
      <w:rFonts w:cs="Times New Roman" w:asciiTheme="minorHAnsi" w:hAnsiTheme="minorHAnsi" w:eastAsiaTheme="minorEastAsia"/>
      <w:sz w:val="22"/>
      <w:szCs w:val="22"/>
    </w:rPr>
  </w:style>
  <w:style w:type="paragraph" w:styleId="17">
    <w:name w:val="Balloon Text"/>
    <w:basedOn w:val="1"/>
    <w:link w:val="55"/>
    <w:unhideWhenUsed/>
    <w:qFormat/>
    <w:uiPriority w:val="99"/>
    <w:pPr>
      <w:widowControl w:val="0"/>
      <w:jc w:val="both"/>
    </w:pPr>
    <w:rPr>
      <w:rFonts w:asciiTheme="minorHAnsi" w:hAnsiTheme="minorHAnsi" w:eastAsiaTheme="minorEastAsia" w:cstheme="minorBidi"/>
      <w:kern w:val="2"/>
      <w:sz w:val="18"/>
      <w:szCs w:val="18"/>
    </w:rPr>
  </w:style>
  <w:style w:type="paragraph" w:styleId="18">
    <w:name w:val="footer"/>
    <w:basedOn w:val="1"/>
    <w:link w:val="74"/>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rPr>
  </w:style>
  <w:style w:type="paragraph" w:styleId="19">
    <w:name w:val="header"/>
    <w:basedOn w:val="1"/>
    <w:link w:val="39"/>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paragraph" w:styleId="20">
    <w:name w:val="toc 1"/>
    <w:basedOn w:val="1"/>
    <w:next w:val="1"/>
    <w:unhideWhenUsed/>
    <w:qFormat/>
    <w:uiPriority w:val="39"/>
    <w:pPr>
      <w:spacing w:after="100" w:line="259" w:lineRule="auto"/>
    </w:pPr>
    <w:rPr>
      <w:rFonts w:cs="Times New Roman" w:asciiTheme="minorHAnsi" w:hAnsiTheme="minorHAnsi" w:eastAsiaTheme="minorEastAsia"/>
      <w:sz w:val="22"/>
      <w:szCs w:val="22"/>
    </w:rPr>
  </w:style>
  <w:style w:type="paragraph" w:styleId="21">
    <w:name w:val="toc 2"/>
    <w:basedOn w:val="1"/>
    <w:next w:val="1"/>
    <w:unhideWhenUsed/>
    <w:qFormat/>
    <w:uiPriority w:val="39"/>
    <w:pPr>
      <w:spacing w:after="100" w:line="259" w:lineRule="auto"/>
      <w:ind w:left="220"/>
    </w:pPr>
    <w:rPr>
      <w:rFonts w:cs="Times New Roman" w:asciiTheme="minorHAnsi" w:hAnsiTheme="minorHAnsi" w:eastAsiaTheme="minorEastAsia"/>
      <w:sz w:val="22"/>
      <w:szCs w:val="22"/>
    </w:rPr>
  </w:style>
  <w:style w:type="paragraph" w:styleId="22">
    <w:name w:val="Normal (Web)"/>
    <w:basedOn w:val="1"/>
    <w:unhideWhenUsed/>
    <w:qFormat/>
    <w:uiPriority w:val="99"/>
    <w:pPr>
      <w:spacing w:before="100" w:beforeAutospacing="1" w:after="100" w:afterAutospacing="1" w:line="259" w:lineRule="auto"/>
    </w:pPr>
  </w:style>
  <w:style w:type="paragraph" w:styleId="23">
    <w:name w:val="annotation subject"/>
    <w:basedOn w:val="13"/>
    <w:next w:val="13"/>
    <w:link w:val="47"/>
    <w:unhideWhenUsed/>
    <w:qFormat/>
    <w:uiPriority w:val="99"/>
    <w:rPr>
      <w:b/>
      <w:bCs/>
    </w:rPr>
  </w:style>
  <w:style w:type="paragraph" w:styleId="24">
    <w:name w:val="Body Text First Indent"/>
    <w:basedOn w:val="14"/>
    <w:link w:val="68"/>
    <w:unhideWhenUsed/>
    <w:qFormat/>
    <w:uiPriority w:val="99"/>
    <w:pPr>
      <w:ind w:firstLine="420" w:firstLineChars="100"/>
    </w:pPr>
  </w:style>
  <w:style w:type="paragraph" w:styleId="25">
    <w:name w:val="Body Text First Indent 2"/>
    <w:basedOn w:val="15"/>
    <w:link w:val="81"/>
    <w:qFormat/>
    <w:uiPriority w:val="0"/>
    <w:pPr>
      <w:ind w:firstLine="420" w:firstLineChars="200"/>
    </w:pPr>
    <w:rPr>
      <w:rFonts w:ascii="Times New Roman" w:hAnsi="Times New Roman" w:eastAsia="宋体" w:cs="Times New Roman"/>
      <w:szCs w:val="24"/>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unhideWhenUsed/>
    <w:qFormat/>
    <w:uiPriority w:val="99"/>
  </w:style>
  <w:style w:type="character" w:styleId="30">
    <w:name w:val="Hyperlink"/>
    <w:basedOn w:val="28"/>
    <w:unhideWhenUsed/>
    <w:qFormat/>
    <w:uiPriority w:val="99"/>
    <w:rPr>
      <w:color w:val="0563C1" w:themeColor="hyperlink"/>
      <w:u w:val="single"/>
      <w14:textFill>
        <w14:solidFill>
          <w14:schemeClr w14:val="hlink"/>
        </w14:solidFill>
      </w14:textFill>
    </w:rPr>
  </w:style>
  <w:style w:type="character" w:styleId="31">
    <w:name w:val="annotation reference"/>
    <w:basedOn w:val="28"/>
    <w:unhideWhenUsed/>
    <w:qFormat/>
    <w:uiPriority w:val="0"/>
    <w:rPr>
      <w:sz w:val="21"/>
      <w:szCs w:val="21"/>
    </w:rPr>
  </w:style>
  <w:style w:type="paragraph" w:customStyle="1" w:styleId="32">
    <w:name w:val="修订111"/>
    <w:hidden/>
    <w:unhideWhenUsed/>
    <w:qFormat/>
    <w:uiPriority w:val="99"/>
    <w:rPr>
      <w:rFonts w:ascii="Times New Roman" w:hAnsi="Times New Roman" w:eastAsia="宋体" w:cs="Times New Roman"/>
      <w:sz w:val="24"/>
      <w:szCs w:val="24"/>
      <w:lang w:val="en-US" w:eastAsia="zh-CN" w:bidi="ar-SA"/>
    </w:rPr>
  </w:style>
  <w:style w:type="paragraph" w:customStyle="1" w:styleId="33">
    <w:name w:val="文档正文"/>
    <w:basedOn w:val="1"/>
    <w:link w:val="62"/>
    <w:qFormat/>
    <w:uiPriority w:val="0"/>
    <w:pPr>
      <w:widowControl w:val="0"/>
      <w:adjustRightInd w:val="0"/>
      <w:spacing w:before="60" w:after="60" w:line="480" w:lineRule="atLeast"/>
      <w:ind w:firstLine="567" w:firstLineChars="200"/>
      <w:jc w:val="both"/>
      <w:textAlignment w:val="baseline"/>
    </w:pPr>
    <w:rPr>
      <w:rFonts w:ascii="长城仿宋" w:hAnsi="Arial" w:cs="Times New Roman"/>
      <w:szCs w:val="20"/>
    </w:rPr>
  </w:style>
  <w:style w:type="paragraph" w:customStyle="1" w:styleId="34">
    <w:name w:val="修订1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5">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6">
    <w:name w:val="p2"/>
    <w:basedOn w:val="1"/>
    <w:qFormat/>
    <w:uiPriority w:val="0"/>
    <w:pPr>
      <w:widowControl w:val="0"/>
    </w:pPr>
    <w:rPr>
      <w:rFonts w:ascii="PingFang SC" w:hAnsi="PingFang SC" w:eastAsia="PingFang SC" w:cs="Times New Roman"/>
      <w:sz w:val="26"/>
      <w:szCs w:val="26"/>
    </w:rPr>
  </w:style>
  <w:style w:type="paragraph" w:customStyle="1" w:styleId="37">
    <w:name w:val="我的正文"/>
    <w:basedOn w:val="1"/>
    <w:qFormat/>
    <w:uiPriority w:val="0"/>
    <w:pPr>
      <w:widowControl w:val="0"/>
      <w:spacing w:line="360" w:lineRule="auto"/>
      <w:ind w:firstLine="454"/>
      <w:jc w:val="both"/>
    </w:pPr>
    <w:rPr>
      <w:rFonts w:asciiTheme="minorHAnsi" w:hAnsiTheme="minorHAnsi" w:eastAsiaTheme="minorEastAsia" w:cstheme="minorBidi"/>
      <w:kern w:val="2"/>
      <w:szCs w:val="20"/>
    </w:rPr>
  </w:style>
  <w:style w:type="character" w:customStyle="1" w:styleId="38">
    <w:name w:val="标题 6 字符"/>
    <w:basedOn w:val="28"/>
    <w:link w:val="7"/>
    <w:qFormat/>
    <w:uiPriority w:val="9"/>
    <w:rPr>
      <w:rFonts w:asciiTheme="majorHAnsi" w:hAnsiTheme="majorHAnsi" w:eastAsiaTheme="majorEastAsia" w:cstheme="majorBidi"/>
      <w:b/>
      <w:bCs/>
      <w:sz w:val="24"/>
      <w:szCs w:val="24"/>
    </w:rPr>
  </w:style>
  <w:style w:type="character" w:customStyle="1" w:styleId="39">
    <w:name w:val="页眉 字符"/>
    <w:basedOn w:val="28"/>
    <w:link w:val="19"/>
    <w:qFormat/>
    <w:uiPriority w:val="99"/>
    <w:rPr>
      <w:sz w:val="18"/>
      <w:szCs w:val="18"/>
    </w:rPr>
  </w:style>
  <w:style w:type="paragraph" w:customStyle="1" w:styleId="40">
    <w:name w:val="修订1"/>
    <w:hidden/>
    <w:unhideWhenUsed/>
    <w:qFormat/>
    <w:uiPriority w:val="99"/>
    <w:rPr>
      <w:rFonts w:ascii="Times New Roman" w:hAnsi="Times New Roman" w:eastAsia="宋体" w:cs="Times New Roman"/>
      <w:sz w:val="24"/>
      <w:szCs w:val="24"/>
      <w:lang w:val="en-US" w:eastAsia="zh-CN" w:bidi="ar-SA"/>
    </w:rPr>
  </w:style>
  <w:style w:type="paragraph" w:customStyle="1" w:styleId="41">
    <w:name w:val="修订8"/>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2">
    <w:name w:val="标题 4 字符"/>
    <w:basedOn w:val="28"/>
    <w:link w:val="5"/>
    <w:qFormat/>
    <w:uiPriority w:val="9"/>
    <w:rPr>
      <w:rFonts w:asciiTheme="majorHAnsi" w:hAnsiTheme="majorHAnsi" w:eastAsiaTheme="majorEastAsia" w:cstheme="majorBidi"/>
      <w:b/>
      <w:bCs/>
      <w:sz w:val="28"/>
      <w:szCs w:val="28"/>
    </w:rPr>
  </w:style>
  <w:style w:type="character" w:customStyle="1" w:styleId="43">
    <w:name w:val="批注文字 字符"/>
    <w:basedOn w:val="28"/>
    <w:link w:val="13"/>
    <w:semiHidden/>
    <w:qFormat/>
    <w:uiPriority w:val="99"/>
  </w:style>
  <w:style w:type="character" w:customStyle="1" w:styleId="44">
    <w:name w:val="0、正文 Char"/>
    <w:link w:val="45"/>
    <w:qFormat/>
    <w:uiPriority w:val="0"/>
    <w:rPr>
      <w:rFonts w:ascii="Courier New" w:hAnsi="Courier New"/>
    </w:rPr>
  </w:style>
  <w:style w:type="paragraph" w:customStyle="1" w:styleId="45">
    <w:name w:val="0、正文"/>
    <w:basedOn w:val="1"/>
    <w:link w:val="44"/>
    <w:qFormat/>
    <w:uiPriority w:val="0"/>
    <w:pPr>
      <w:widowControl w:val="0"/>
      <w:spacing w:before="62" w:beforeLines="20" w:line="336" w:lineRule="auto"/>
      <w:ind w:firstLine="420"/>
      <w:jc w:val="both"/>
    </w:pPr>
    <w:rPr>
      <w:rFonts w:ascii="Courier New" w:hAnsi="Courier New" w:eastAsiaTheme="minorEastAsia" w:cstheme="minorBidi"/>
      <w:kern w:val="2"/>
      <w:sz w:val="21"/>
      <w:szCs w:val="22"/>
    </w:rPr>
  </w:style>
  <w:style w:type="character" w:customStyle="1" w:styleId="46">
    <w:name w:val="标题 8 字符"/>
    <w:basedOn w:val="28"/>
    <w:link w:val="9"/>
    <w:qFormat/>
    <w:uiPriority w:val="0"/>
    <w:rPr>
      <w:rFonts w:ascii="Arial" w:hAnsi="Arial" w:eastAsia="黑体" w:cs="Times New Roman"/>
      <w:sz w:val="24"/>
      <w:szCs w:val="24"/>
    </w:rPr>
  </w:style>
  <w:style w:type="character" w:customStyle="1" w:styleId="47">
    <w:name w:val="批注主题 字符"/>
    <w:basedOn w:val="43"/>
    <w:link w:val="23"/>
    <w:semiHidden/>
    <w:qFormat/>
    <w:uiPriority w:val="99"/>
    <w:rPr>
      <w:b/>
      <w:bCs/>
    </w:rPr>
  </w:style>
  <w:style w:type="paragraph" w:customStyle="1" w:styleId="48">
    <w:name w:val="应答1"/>
    <w:basedOn w:val="1"/>
    <w:link w:val="77"/>
    <w:qFormat/>
    <w:uiPriority w:val="0"/>
    <w:pPr>
      <w:widowControl w:val="0"/>
      <w:adjustRightInd w:val="0"/>
      <w:snapToGrid w:val="0"/>
      <w:spacing w:line="360" w:lineRule="auto"/>
      <w:ind w:firstLine="566" w:firstLineChars="236"/>
      <w:jc w:val="both"/>
    </w:pPr>
    <w:rPr>
      <w:bCs/>
      <w:color w:val="000000" w:themeColor="text1"/>
      <w:kern w:val="2"/>
      <w14:textFill>
        <w14:solidFill>
          <w14:schemeClr w14:val="tx1"/>
        </w14:solidFill>
      </w14:textFill>
    </w:rPr>
  </w:style>
  <w:style w:type="paragraph" w:customStyle="1" w:styleId="49">
    <w:name w:val="p1"/>
    <w:basedOn w:val="1"/>
    <w:qFormat/>
    <w:uiPriority w:val="0"/>
    <w:pPr>
      <w:widowControl w:val="0"/>
    </w:pPr>
    <w:rPr>
      <w:rFonts w:ascii="Helvetica Neue" w:hAnsi="Helvetica Neue" w:eastAsia="Helvetica Neue" w:cs="Times New Roman"/>
      <w:sz w:val="26"/>
      <w:szCs w:val="26"/>
    </w:rPr>
  </w:style>
  <w:style w:type="character" w:customStyle="1" w:styleId="50">
    <w:name w:val="列表段落 字符"/>
    <w:link w:val="51"/>
    <w:qFormat/>
    <w:locked/>
    <w:uiPriority w:val="34"/>
  </w:style>
  <w:style w:type="paragraph" w:customStyle="1" w:styleId="51">
    <w:name w:val="列表段落1"/>
    <w:basedOn w:val="1"/>
    <w:link w:val="50"/>
    <w:qFormat/>
    <w:uiPriority w:val="34"/>
    <w:pPr>
      <w:widowControl w:val="0"/>
      <w:ind w:firstLine="420" w:firstLineChars="200"/>
      <w:jc w:val="both"/>
    </w:pPr>
    <w:rPr>
      <w:rFonts w:asciiTheme="minorHAnsi" w:hAnsiTheme="minorHAnsi" w:eastAsiaTheme="minorEastAsia" w:cstheme="minorBidi"/>
      <w:kern w:val="2"/>
      <w:sz w:val="21"/>
      <w:szCs w:val="22"/>
    </w:rPr>
  </w:style>
  <w:style w:type="character" w:customStyle="1" w:styleId="52">
    <w:name w:val="QB正文 Char Char"/>
    <w:link w:val="53"/>
    <w:qFormat/>
    <w:uiPriority w:val="0"/>
    <w:rPr>
      <w:rFonts w:ascii="宋体"/>
    </w:rPr>
  </w:style>
  <w:style w:type="paragraph" w:customStyle="1" w:styleId="53">
    <w:name w:val="QB正文"/>
    <w:basedOn w:val="1"/>
    <w:link w:val="52"/>
    <w:qFormat/>
    <w:uiPriority w:val="0"/>
    <w:pPr>
      <w:autoSpaceDE w:val="0"/>
      <w:autoSpaceDN w:val="0"/>
      <w:spacing w:line="360" w:lineRule="auto"/>
      <w:ind w:firstLine="200" w:firstLineChars="200"/>
      <w:jc w:val="both"/>
    </w:pPr>
    <w:rPr>
      <w:rFonts w:hAnsiTheme="minorHAnsi" w:eastAsiaTheme="minorEastAsia" w:cstheme="minorBidi"/>
      <w:kern w:val="2"/>
      <w:sz w:val="21"/>
      <w:szCs w:val="22"/>
    </w:rPr>
  </w:style>
  <w:style w:type="paragraph" w:customStyle="1" w:styleId="5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55">
    <w:name w:val="批注框文本 字符"/>
    <w:basedOn w:val="28"/>
    <w:link w:val="17"/>
    <w:semiHidden/>
    <w:qFormat/>
    <w:uiPriority w:val="99"/>
    <w:rPr>
      <w:sz w:val="18"/>
      <w:szCs w:val="18"/>
    </w:rPr>
  </w:style>
  <w:style w:type="paragraph" w:customStyle="1" w:styleId="56">
    <w:name w:val="修订10"/>
    <w:hidden/>
    <w:unhideWhenUsed/>
    <w:qFormat/>
    <w:uiPriority w:val="99"/>
    <w:rPr>
      <w:rFonts w:ascii="宋体" w:hAnsi="宋体" w:eastAsia="宋体" w:cs="宋体"/>
      <w:sz w:val="24"/>
      <w:szCs w:val="24"/>
      <w:lang w:val="en-US" w:eastAsia="zh-CN" w:bidi="ar-SA"/>
    </w:rPr>
  </w:style>
  <w:style w:type="character" w:customStyle="1" w:styleId="57">
    <w:name w:val="正文缩进(ALT+Z) Char"/>
    <w:link w:val="58"/>
    <w:qFormat/>
    <w:uiPriority w:val="0"/>
    <w:rPr>
      <w:rFonts w:ascii="Calibri" w:hAnsi="Calibri" w:eastAsia="宋体" w:cs="Times New Roman"/>
      <w:kern w:val="0"/>
      <w:sz w:val="24"/>
      <w:szCs w:val="20"/>
    </w:rPr>
  </w:style>
  <w:style w:type="paragraph" w:customStyle="1" w:styleId="58">
    <w:name w:val="正文缩进(ALT+Z)"/>
    <w:basedOn w:val="1"/>
    <w:link w:val="57"/>
    <w:qFormat/>
    <w:uiPriority w:val="0"/>
    <w:pPr>
      <w:widowControl w:val="0"/>
      <w:ind w:firstLine="200" w:firstLineChars="200"/>
      <w:jc w:val="both"/>
    </w:pPr>
    <w:rPr>
      <w:rFonts w:ascii="Calibri" w:hAnsi="Calibri" w:cs="Times New Roman"/>
      <w:szCs w:val="20"/>
    </w:rPr>
  </w:style>
  <w:style w:type="character" w:customStyle="1" w:styleId="59">
    <w:name w:val="标题 7 字符"/>
    <w:basedOn w:val="28"/>
    <w:link w:val="8"/>
    <w:qFormat/>
    <w:uiPriority w:val="9"/>
    <w:rPr>
      <w:b/>
      <w:bCs/>
      <w:sz w:val="24"/>
      <w:szCs w:val="24"/>
    </w:rPr>
  </w:style>
  <w:style w:type="character" w:customStyle="1" w:styleId="60">
    <w:name w:val="文档结构图 字符"/>
    <w:basedOn w:val="28"/>
    <w:link w:val="12"/>
    <w:semiHidden/>
    <w:qFormat/>
    <w:uiPriority w:val="99"/>
    <w:rPr>
      <w:rFonts w:ascii="宋体" w:eastAsia="宋体"/>
      <w:sz w:val="24"/>
      <w:szCs w:val="24"/>
    </w:rPr>
  </w:style>
  <w:style w:type="paragraph" w:customStyle="1" w:styleId="61">
    <w:name w:val="段"/>
    <w:qFormat/>
    <w:uiPriority w:val="0"/>
    <w:pPr>
      <w:autoSpaceDE w:val="0"/>
      <w:autoSpaceDN w:val="0"/>
      <w:ind w:firstLine="200"/>
      <w:jc w:val="both"/>
    </w:pPr>
    <w:rPr>
      <w:rFonts w:ascii="宋体" w:hAnsi="Times New Roman" w:eastAsia="宋体" w:cs="Times New Roman"/>
      <w:sz w:val="21"/>
      <w:lang w:val="en-US" w:eastAsia="en-US" w:bidi="ar-SA"/>
    </w:rPr>
  </w:style>
  <w:style w:type="character" w:customStyle="1" w:styleId="62">
    <w:name w:val="文档正文 Char"/>
    <w:link w:val="33"/>
    <w:qFormat/>
    <w:uiPriority w:val="0"/>
    <w:rPr>
      <w:rFonts w:ascii="长城仿宋" w:hAnsi="Arial"/>
      <w:sz w:val="24"/>
    </w:rPr>
  </w:style>
  <w:style w:type="character" w:customStyle="1" w:styleId="63">
    <w:name w:val="标题 1 字符"/>
    <w:basedOn w:val="28"/>
    <w:link w:val="2"/>
    <w:qFormat/>
    <w:uiPriority w:val="9"/>
    <w:rPr>
      <w:b/>
      <w:bCs/>
      <w:kern w:val="44"/>
      <w:sz w:val="44"/>
      <w:szCs w:val="44"/>
    </w:rPr>
  </w:style>
  <w:style w:type="paragraph" w:customStyle="1" w:styleId="64">
    <w:name w:val="修订12"/>
    <w:hidden/>
    <w:unhideWhenUsed/>
    <w:qFormat/>
    <w:uiPriority w:val="99"/>
    <w:rPr>
      <w:rFonts w:ascii="宋体" w:hAnsi="宋体" w:eastAsia="宋体" w:cs="宋体"/>
      <w:sz w:val="24"/>
      <w:szCs w:val="24"/>
      <w:lang w:val="en-US" w:eastAsia="zh-CN" w:bidi="ar-SA"/>
    </w:rPr>
  </w:style>
  <w:style w:type="paragraph" w:customStyle="1" w:styleId="65">
    <w:name w:val="修订4"/>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66">
    <w:name w:val="标题 2 字符"/>
    <w:basedOn w:val="28"/>
    <w:link w:val="3"/>
    <w:qFormat/>
    <w:uiPriority w:val="9"/>
    <w:rPr>
      <w:rFonts w:asciiTheme="majorHAnsi" w:hAnsiTheme="majorHAnsi" w:eastAsiaTheme="majorEastAsia" w:cstheme="majorBidi"/>
      <w:b/>
      <w:bCs/>
      <w:sz w:val="32"/>
      <w:szCs w:val="32"/>
    </w:rPr>
  </w:style>
  <w:style w:type="character" w:customStyle="1" w:styleId="67">
    <w:name w:val="标题 5 字符"/>
    <w:basedOn w:val="28"/>
    <w:link w:val="6"/>
    <w:qFormat/>
    <w:uiPriority w:val="9"/>
    <w:rPr>
      <w:b/>
      <w:bCs/>
      <w:sz w:val="28"/>
      <w:szCs w:val="28"/>
    </w:rPr>
  </w:style>
  <w:style w:type="character" w:customStyle="1" w:styleId="68">
    <w:name w:val="正文文本首行缩进 字符"/>
    <w:basedOn w:val="69"/>
    <w:link w:val="24"/>
    <w:semiHidden/>
    <w:qFormat/>
    <w:uiPriority w:val="99"/>
  </w:style>
  <w:style w:type="character" w:customStyle="1" w:styleId="69">
    <w:name w:val="正文文本 字符"/>
    <w:basedOn w:val="28"/>
    <w:link w:val="14"/>
    <w:semiHidden/>
    <w:qFormat/>
    <w:uiPriority w:val="99"/>
  </w:style>
  <w:style w:type="paragraph" w:customStyle="1" w:styleId="70">
    <w:name w:val="修订5"/>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71">
    <w:name w:val="修订7"/>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72">
    <w:name w:val="正文文本缩进 字符"/>
    <w:basedOn w:val="28"/>
    <w:link w:val="15"/>
    <w:semiHidden/>
    <w:qFormat/>
    <w:uiPriority w:val="99"/>
  </w:style>
  <w:style w:type="paragraph" w:customStyle="1" w:styleId="73">
    <w:name w:val="修订3"/>
    <w:hidden/>
    <w:unhideWhenUsed/>
    <w:qFormat/>
    <w:uiPriority w:val="99"/>
    <w:rPr>
      <w:rFonts w:ascii="宋体" w:hAnsi="宋体" w:eastAsia="宋体" w:cs="宋体"/>
      <w:sz w:val="24"/>
      <w:szCs w:val="24"/>
      <w:lang w:val="en-US" w:eastAsia="zh-CN" w:bidi="ar-SA"/>
    </w:rPr>
  </w:style>
  <w:style w:type="character" w:customStyle="1" w:styleId="74">
    <w:name w:val="页脚 字符"/>
    <w:basedOn w:val="28"/>
    <w:link w:val="18"/>
    <w:qFormat/>
    <w:uiPriority w:val="99"/>
    <w:rPr>
      <w:sz w:val="18"/>
      <w:szCs w:val="18"/>
    </w:rPr>
  </w:style>
  <w:style w:type="paragraph" w:customStyle="1" w:styleId="75">
    <w:name w:val="修订9"/>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76">
    <w:name w:val="正文缩进 字符"/>
    <w:basedOn w:val="28"/>
    <w:link w:val="11"/>
    <w:qFormat/>
    <w:uiPriority w:val="99"/>
    <w:rPr>
      <w:rFonts w:ascii="Times New Roman" w:hAnsi="Times New Roman" w:eastAsia="仿宋_GB2312" w:cs="Times New Roman"/>
      <w:sz w:val="24"/>
      <w:szCs w:val="20"/>
    </w:rPr>
  </w:style>
  <w:style w:type="character" w:customStyle="1" w:styleId="77">
    <w:name w:val="应答1 Char"/>
    <w:basedOn w:val="28"/>
    <w:link w:val="48"/>
    <w:qFormat/>
    <w:uiPriority w:val="0"/>
    <w:rPr>
      <w:rFonts w:ascii="宋体" w:hAnsi="宋体" w:eastAsia="宋体" w:cs="宋体"/>
      <w:bCs/>
      <w:color w:val="000000" w:themeColor="text1"/>
      <w:sz w:val="24"/>
      <w:szCs w:val="24"/>
      <w14:textFill>
        <w14:solidFill>
          <w14:schemeClr w14:val="tx1"/>
        </w14:solidFill>
      </w14:textFill>
    </w:rPr>
  </w:style>
  <w:style w:type="paragraph" w:customStyle="1" w:styleId="78">
    <w:name w:val="QB前言正文"/>
    <w:basedOn w:val="1"/>
    <w:qFormat/>
    <w:uiPriority w:val="0"/>
    <w:pPr>
      <w:autoSpaceDE w:val="0"/>
      <w:autoSpaceDN w:val="0"/>
      <w:adjustRightInd w:val="0"/>
      <w:spacing w:line="360" w:lineRule="auto"/>
      <w:ind w:firstLine="200" w:firstLineChars="200"/>
      <w:jc w:val="both"/>
      <w:textAlignment w:val="baseline"/>
    </w:pPr>
    <w:rPr>
      <w:rFonts w:hAnsi="Times New Roman" w:cs="Times New Roman"/>
      <w:lang w:val="zh-CN"/>
    </w:rPr>
  </w:style>
  <w:style w:type="character" w:customStyle="1" w:styleId="79">
    <w:name w:val="标题 3 字符"/>
    <w:basedOn w:val="28"/>
    <w:link w:val="4"/>
    <w:qFormat/>
    <w:uiPriority w:val="9"/>
    <w:rPr>
      <w:rFonts w:asciiTheme="minorHAnsi" w:hAnsiTheme="minorHAnsi" w:eastAsiaTheme="minorEastAsia"/>
      <w:b/>
      <w:bCs/>
      <w:sz w:val="30"/>
      <w:szCs w:val="32"/>
    </w:rPr>
  </w:style>
  <w:style w:type="paragraph" w:styleId="80">
    <w:name w:val="List Paragraph"/>
    <w:basedOn w:val="1"/>
    <w:qFormat/>
    <w:uiPriority w:val="34"/>
    <w:pPr>
      <w:widowControl w:val="0"/>
      <w:ind w:firstLine="420" w:firstLineChars="200"/>
      <w:jc w:val="both"/>
    </w:pPr>
    <w:rPr>
      <w:rFonts w:asciiTheme="minorHAnsi" w:hAnsiTheme="minorHAnsi" w:eastAsiaTheme="minorEastAsia" w:cstheme="minorBidi"/>
      <w:kern w:val="2"/>
      <w:sz w:val="21"/>
      <w:szCs w:val="22"/>
    </w:rPr>
  </w:style>
  <w:style w:type="character" w:customStyle="1" w:styleId="81">
    <w:name w:val="正文文本首行缩进 2 字符"/>
    <w:basedOn w:val="72"/>
    <w:link w:val="25"/>
    <w:qFormat/>
    <w:uiPriority w:val="0"/>
    <w:rPr>
      <w:rFonts w:ascii="Times New Roman" w:hAnsi="Times New Roman" w:eastAsia="宋体" w:cs="Times New Roman"/>
      <w:szCs w:val="24"/>
    </w:rPr>
  </w:style>
  <w:style w:type="paragraph" w:customStyle="1" w:styleId="82">
    <w:name w:val="修订6"/>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83">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84">
    <w:name w:val="修订3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85">
    <w:name w:val="标题 9 字符"/>
    <w:basedOn w:val="28"/>
    <w:link w:val="10"/>
    <w:qFormat/>
    <w:uiPriority w:val="0"/>
    <w:rPr>
      <w:rFonts w:ascii="Arial" w:hAnsi="Arial" w:eastAsia="黑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5822</Words>
  <Characters>6469</Characters>
  <Lines>47</Lines>
  <Paragraphs>13</Paragraphs>
  <TotalTime>8</TotalTime>
  <ScaleCrop>false</ScaleCrop>
  <LinksUpToDate>false</LinksUpToDate>
  <CharactersWithSpaces>6507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2026-06-17T08:12:00Z</dcterms:created>
  <dc:creator>Data</dc:creator>
  <cp:lastModifiedBy>admin</cp:lastModifiedBy>
  <dcterms:modified xsi:type="dcterms:W3CDTF">2026-06-25T06:38:26Z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E27FBB8E1FA3942427F1316A6AE27371_42</vt:lpwstr>
  </property>
  <property fmtid="{D5CDD505-2E9C-101B-9397-08002B2CF9AE}" pid="4" name="KSOTemplateDocerSaveRecord">
    <vt:lpwstr>eyJoZGlkIjoiZGM2MDczYzIzZTU3NzM0MjlkZDBmZmFiMzkzMTIzNjAiLCJ1c2VySWQiOiIxNDA5MDU4NjM5In0=</vt:lpwstr>
  </property>
</Properties>
</file>