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45BAE">
      <w:pPr>
        <w:widowControl/>
        <w:jc w:val="left"/>
        <w:outlineLvl w:val="0"/>
        <w:rPr>
          <w:rFonts w:hint="eastAsia" w:ascii="仿宋" w:hAnsi="仿宋" w:eastAsia="仿宋" w:cs="仿宋"/>
          <w:b/>
          <w:sz w:val="32"/>
          <w:szCs w:val="32"/>
        </w:rPr>
      </w:pPr>
      <w:r>
        <w:rPr>
          <w:rFonts w:hint="eastAsia" w:ascii="仿宋" w:hAnsi="仿宋" w:eastAsia="仿宋" w:cs="仿宋"/>
          <w:b/>
          <w:sz w:val="32"/>
          <w:szCs w:val="32"/>
        </w:rPr>
        <w:t>技术评分表（100分，主观分标注黄色）</w:t>
      </w:r>
    </w:p>
    <w:tbl>
      <w:tblPr>
        <w:tblStyle w:val="26"/>
        <w:tblW w:w="10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32"/>
        <w:gridCol w:w="555"/>
        <w:gridCol w:w="5880"/>
        <w:gridCol w:w="2422"/>
      </w:tblGrid>
      <w:tr w14:paraId="721E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14:paraId="29479E71">
            <w:pPr>
              <w:jc w:val="center"/>
              <w:rPr>
                <w:rFonts w:hint="eastAsia" w:ascii="仿宋" w:hAnsi="仿宋" w:eastAsia="仿宋" w:cs="仿宋"/>
                <w:b/>
                <w:bCs/>
                <w:sz w:val="20"/>
              </w:rPr>
            </w:pPr>
            <w:r>
              <w:rPr>
                <w:rFonts w:hint="eastAsia" w:ascii="仿宋" w:hAnsi="仿宋" w:eastAsia="仿宋" w:cs="仿宋"/>
                <w:b/>
                <w:bCs/>
                <w:sz w:val="20"/>
              </w:rPr>
              <w:t>评分项</w:t>
            </w:r>
          </w:p>
        </w:tc>
        <w:tc>
          <w:tcPr>
            <w:tcW w:w="1032" w:type="dxa"/>
            <w:noWrap/>
            <w:vAlign w:val="center"/>
          </w:tcPr>
          <w:p w14:paraId="16085379">
            <w:pPr>
              <w:jc w:val="center"/>
              <w:rPr>
                <w:rFonts w:hint="eastAsia" w:ascii="仿宋" w:hAnsi="仿宋" w:eastAsia="仿宋" w:cs="仿宋"/>
                <w:b/>
                <w:bCs/>
                <w:sz w:val="20"/>
              </w:rPr>
            </w:pPr>
            <w:r>
              <w:rPr>
                <w:rFonts w:hint="eastAsia" w:ascii="仿宋" w:hAnsi="仿宋" w:eastAsia="仿宋" w:cs="仿宋"/>
                <w:b/>
                <w:bCs/>
                <w:sz w:val="20"/>
              </w:rPr>
              <w:t>细化评分项</w:t>
            </w:r>
          </w:p>
        </w:tc>
        <w:tc>
          <w:tcPr>
            <w:tcW w:w="555" w:type="dxa"/>
            <w:noWrap/>
            <w:vAlign w:val="center"/>
          </w:tcPr>
          <w:p w14:paraId="563AF4F7">
            <w:pPr>
              <w:jc w:val="center"/>
              <w:rPr>
                <w:rFonts w:hint="eastAsia" w:ascii="仿宋" w:hAnsi="仿宋" w:eastAsia="仿宋" w:cs="仿宋"/>
                <w:b/>
                <w:bCs/>
                <w:sz w:val="20"/>
              </w:rPr>
            </w:pPr>
            <w:r>
              <w:rPr>
                <w:rFonts w:hint="eastAsia" w:ascii="仿宋" w:hAnsi="仿宋" w:eastAsia="仿宋" w:cs="仿宋"/>
                <w:b/>
                <w:bCs/>
                <w:sz w:val="20"/>
              </w:rPr>
              <w:t>分值</w:t>
            </w:r>
          </w:p>
        </w:tc>
        <w:tc>
          <w:tcPr>
            <w:tcW w:w="5880" w:type="dxa"/>
            <w:noWrap/>
            <w:vAlign w:val="center"/>
          </w:tcPr>
          <w:p w14:paraId="197638F3">
            <w:pPr>
              <w:jc w:val="center"/>
              <w:rPr>
                <w:rFonts w:hint="eastAsia" w:ascii="仿宋" w:hAnsi="仿宋" w:eastAsia="仿宋" w:cs="仿宋"/>
                <w:b/>
                <w:bCs/>
                <w:sz w:val="20"/>
              </w:rPr>
            </w:pPr>
            <w:r>
              <w:rPr>
                <w:rFonts w:hint="eastAsia" w:ascii="仿宋" w:hAnsi="仿宋" w:eastAsia="仿宋" w:cs="仿宋"/>
                <w:b/>
                <w:bCs/>
                <w:sz w:val="20"/>
              </w:rPr>
              <w:t>评分标准</w:t>
            </w:r>
          </w:p>
        </w:tc>
        <w:tc>
          <w:tcPr>
            <w:tcW w:w="2422" w:type="dxa"/>
            <w:noWrap/>
            <w:vAlign w:val="center"/>
          </w:tcPr>
          <w:p w14:paraId="401892AD">
            <w:pPr>
              <w:jc w:val="center"/>
              <w:rPr>
                <w:rFonts w:hint="eastAsia" w:ascii="仿宋" w:hAnsi="仿宋" w:eastAsia="仿宋" w:cs="仿宋"/>
                <w:b/>
                <w:bCs/>
                <w:sz w:val="20"/>
              </w:rPr>
            </w:pPr>
            <w:r>
              <w:rPr>
                <w:rFonts w:hint="eastAsia" w:ascii="仿宋" w:hAnsi="仿宋" w:eastAsia="仿宋" w:cs="仿宋"/>
                <w:b/>
                <w:bCs/>
                <w:sz w:val="20"/>
              </w:rPr>
              <w:t>提供的证明材料</w:t>
            </w:r>
          </w:p>
        </w:tc>
      </w:tr>
      <w:tr w14:paraId="0FFF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jc w:val="center"/>
        </w:trPr>
        <w:tc>
          <w:tcPr>
            <w:tcW w:w="678" w:type="dxa"/>
            <w:vMerge w:val="restart"/>
            <w:noWrap/>
            <w:vAlign w:val="center"/>
          </w:tcPr>
          <w:p w14:paraId="625CC82D">
            <w:pPr>
              <w:widowControl/>
              <w:jc w:val="center"/>
              <w:rPr>
                <w:rFonts w:hint="eastAsia" w:ascii="仿宋" w:hAnsi="仿宋" w:eastAsia="仿宋" w:cs="仿宋"/>
                <w:b/>
                <w:bCs/>
                <w:color w:val="000000"/>
                <w:kern w:val="0"/>
                <w:szCs w:val="21"/>
              </w:rPr>
            </w:pPr>
            <w:r>
              <w:rPr>
                <w:rFonts w:hint="eastAsia" w:ascii="仿宋" w:hAnsi="仿宋" w:eastAsia="仿宋" w:cs="仿宋"/>
                <w:b/>
                <w:bCs/>
                <w:kern w:val="0"/>
                <w:sz w:val="20"/>
                <w:lang w:bidi="ar"/>
              </w:rPr>
              <w:t>综合实力</w:t>
            </w:r>
          </w:p>
        </w:tc>
        <w:tc>
          <w:tcPr>
            <w:tcW w:w="1032" w:type="dxa"/>
            <w:noWrap/>
            <w:vAlign w:val="center"/>
          </w:tcPr>
          <w:p w14:paraId="2382A101">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人员配置</w:t>
            </w:r>
          </w:p>
        </w:tc>
        <w:tc>
          <w:tcPr>
            <w:tcW w:w="555" w:type="dxa"/>
            <w:noWrap/>
            <w:vAlign w:val="center"/>
          </w:tcPr>
          <w:p w14:paraId="23831F92">
            <w:pPr>
              <w:jc w:val="center"/>
              <w:rPr>
                <w:rFonts w:hint="default" w:ascii="仿宋" w:hAnsi="仿宋" w:eastAsia="仿宋" w:cs="仿宋"/>
                <w:b/>
                <w:bCs/>
                <w:color w:val="000000"/>
                <w:kern w:val="0"/>
                <w:sz w:val="20"/>
                <w:highlight w:val="none"/>
                <w:lang w:val="en-US" w:eastAsia="zh-CN"/>
              </w:rPr>
            </w:pPr>
            <w:r>
              <w:rPr>
                <w:rFonts w:hint="eastAsia" w:ascii="仿宋" w:hAnsi="仿宋" w:eastAsia="仿宋" w:cs="仿宋"/>
                <w:b w:val="0"/>
                <w:bCs w:val="0"/>
                <w:color w:val="000000"/>
                <w:kern w:val="0"/>
                <w:sz w:val="20"/>
                <w:highlight w:val="none"/>
                <w:lang w:val="en-US" w:eastAsia="zh-CN"/>
              </w:rPr>
              <w:t>26</w:t>
            </w:r>
          </w:p>
        </w:tc>
        <w:tc>
          <w:tcPr>
            <w:tcW w:w="5880" w:type="dxa"/>
            <w:vAlign w:val="center"/>
          </w:tcPr>
          <w:p w14:paraId="412AC6A1">
            <w:pPr>
              <w:rPr>
                <w:rFonts w:hint="eastAsia" w:ascii="仿宋" w:hAnsi="仿宋" w:eastAsia="仿宋" w:cs="仿宋"/>
                <w:color w:val="000000"/>
                <w:kern w:val="0"/>
                <w:sz w:val="20"/>
                <w:highlight w:val="none"/>
                <w:lang w:val="en-US" w:eastAsia="zh-CN"/>
              </w:rPr>
            </w:pPr>
            <w:r>
              <w:rPr>
                <w:rFonts w:hint="eastAsia" w:ascii="仿宋" w:hAnsi="仿宋" w:eastAsia="仿宋" w:cs="仿宋"/>
                <w:sz w:val="20"/>
                <w:highlight w:val="none"/>
              </w:rPr>
              <w:t>应</w:t>
            </w:r>
            <w:r>
              <w:rPr>
                <w:rFonts w:hint="eastAsia" w:ascii="仿宋" w:hAnsi="仿宋" w:eastAsia="仿宋" w:cs="仿宋"/>
                <w:color w:val="000000"/>
                <w:kern w:val="0"/>
                <w:sz w:val="20"/>
                <w:highlight w:val="none"/>
                <w:lang w:val="en-US" w:eastAsia="zh-CN"/>
              </w:rPr>
              <w:t>答人需为本项目配备专职服务团队（少于9人时本项不得分，以有效的劳动合同为评审依据）。</w:t>
            </w:r>
          </w:p>
          <w:p w14:paraId="53D7293D">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1.团队成员中需明确1名项目经理：</w:t>
            </w:r>
          </w:p>
          <w:p w14:paraId="2DD72254">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①具备本科及以上学历且具备5年及以上工作经验，得3分；</w:t>
            </w:r>
          </w:p>
          <w:p w14:paraId="5C663407">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②具备高级及以上职称或PMP认证，得2分。</w:t>
            </w:r>
          </w:p>
          <w:p w14:paraId="54334084">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2.团队成员（不含项目经理）：</w:t>
            </w:r>
          </w:p>
          <w:p w14:paraId="4C9A4BE0">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①具备本科及以上学历且具备3年及以上工作经验，每满足1人得2分，最高18分。</w:t>
            </w:r>
          </w:p>
          <w:p w14:paraId="0BF52EC2">
            <w:pPr>
              <w:rPr>
                <w:rFonts w:hint="eastAsia" w:ascii="仿宋" w:hAnsi="仿宋" w:eastAsia="仿宋" w:cs="仿宋"/>
                <w:kern w:val="2"/>
                <w:sz w:val="20"/>
                <w:highlight w:val="none"/>
                <w:lang w:val="en-US" w:eastAsia="zh-CN" w:bidi="ar-SA"/>
              </w:rPr>
            </w:pPr>
            <w:r>
              <w:rPr>
                <w:rFonts w:hint="eastAsia" w:ascii="仿宋" w:hAnsi="仿宋" w:eastAsia="仿宋" w:cs="仿宋"/>
                <w:color w:val="000000"/>
                <w:kern w:val="0"/>
                <w:sz w:val="20"/>
                <w:highlight w:val="none"/>
                <w:lang w:val="en-US" w:eastAsia="zh-CN"/>
              </w:rPr>
              <w:t>②具备软件设计师或信息系统项目管理师或PMP或</w:t>
            </w:r>
            <w:r>
              <w:rPr>
                <w:rFonts w:hint="eastAsia" w:ascii="仿宋" w:hAnsi="仿宋" w:eastAsia="仿宋" w:cs="仿宋"/>
                <w:color w:val="000000"/>
                <w:kern w:val="0"/>
                <w:sz w:val="20"/>
                <w:highlight w:val="none"/>
                <w:shd w:val="clear"/>
                <w:lang w:val="en-US" w:eastAsia="zh-CN"/>
              </w:rPr>
              <w:t>软件工程师相关认证</w:t>
            </w:r>
            <w:r>
              <w:rPr>
                <w:rFonts w:hint="eastAsia" w:ascii="仿宋" w:hAnsi="仿宋" w:eastAsia="仿宋" w:cs="仿宋"/>
                <w:color w:val="000000"/>
                <w:kern w:val="0"/>
                <w:sz w:val="20"/>
                <w:highlight w:val="none"/>
                <w:lang w:val="en-US" w:eastAsia="zh-CN"/>
              </w:rPr>
              <w:t>，每满足1人得1分，最高得3分。具有多项认证的人员只能使用一项认证，人员不重复得分。</w:t>
            </w:r>
          </w:p>
        </w:tc>
        <w:tc>
          <w:tcPr>
            <w:tcW w:w="2422" w:type="dxa"/>
            <w:shd w:val="clear" w:color="000000" w:fill="auto"/>
            <w:noWrap/>
            <w:vAlign w:val="center"/>
          </w:tcPr>
          <w:p w14:paraId="716C9948">
            <w:pPr>
              <w:rPr>
                <w:rFonts w:hint="eastAsia" w:ascii="仿宋" w:hAnsi="仿宋" w:eastAsia="仿宋" w:cs="仿宋"/>
                <w:kern w:val="0"/>
                <w:sz w:val="20"/>
                <w:highlight w:val="none"/>
                <w:lang w:eastAsia="zh-CN" w:bidi="ar"/>
              </w:rPr>
            </w:pPr>
            <w:r>
              <w:rPr>
                <w:rFonts w:hint="eastAsia" w:ascii="仿宋" w:hAnsi="仿宋" w:eastAsia="仿宋" w:cs="仿宋"/>
                <w:kern w:val="0"/>
                <w:sz w:val="20"/>
                <w:highlight w:val="none"/>
                <w:lang w:bidi="ar"/>
              </w:rPr>
              <w:t>1、提供人员清单以及有效的身份证正反面扫描件</w:t>
            </w:r>
            <w:r>
              <w:rPr>
                <w:rFonts w:hint="eastAsia" w:ascii="仿宋" w:hAnsi="仿宋" w:eastAsia="仿宋" w:cs="仿宋"/>
                <w:kern w:val="0"/>
                <w:sz w:val="20"/>
                <w:highlight w:val="none"/>
                <w:lang w:eastAsia="zh-CN" w:bidi="ar"/>
              </w:rPr>
              <w:t>。</w:t>
            </w:r>
          </w:p>
          <w:p w14:paraId="28A98B50">
            <w:pPr>
              <w:rPr>
                <w:rFonts w:hint="eastAsia" w:ascii="仿宋" w:hAnsi="仿宋" w:eastAsia="仿宋" w:cs="仿宋"/>
                <w:kern w:val="0"/>
                <w:sz w:val="20"/>
                <w:highlight w:val="none"/>
                <w:lang w:bidi="ar"/>
              </w:rPr>
            </w:pPr>
            <w:r>
              <w:rPr>
                <w:rFonts w:hint="eastAsia" w:ascii="仿宋" w:hAnsi="仿宋" w:eastAsia="仿宋" w:cs="仿宋"/>
                <w:kern w:val="0"/>
                <w:sz w:val="20"/>
                <w:highlight w:val="none"/>
                <w:lang w:bidi="ar"/>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14:paraId="3C7DA097">
            <w:pPr>
              <w:rPr>
                <w:rFonts w:hint="eastAsia" w:ascii="仿宋" w:hAnsi="仿宋" w:eastAsia="仿宋" w:cs="仿宋"/>
                <w:kern w:val="0"/>
                <w:sz w:val="20"/>
                <w:highlight w:val="none"/>
                <w:lang w:bidi="ar"/>
              </w:rPr>
            </w:pPr>
            <w:r>
              <w:rPr>
                <w:rFonts w:hint="eastAsia" w:ascii="仿宋" w:hAnsi="仿宋" w:eastAsia="仿宋" w:cs="仿宋"/>
                <w:kern w:val="0"/>
                <w:sz w:val="20"/>
                <w:highlight w:val="none"/>
                <w:lang w:bidi="ar"/>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6A9A3F0A">
            <w:pPr>
              <w:rPr>
                <w:rFonts w:hint="eastAsia" w:ascii="仿宋" w:hAnsi="仿宋" w:eastAsia="仿宋" w:cs="仿宋"/>
                <w:kern w:val="0"/>
                <w:sz w:val="20"/>
                <w:highlight w:val="none"/>
                <w:lang w:eastAsia="zh-CN" w:bidi="ar"/>
              </w:rPr>
            </w:pPr>
            <w:r>
              <w:rPr>
                <w:rFonts w:hint="eastAsia" w:ascii="仿宋" w:hAnsi="仿宋" w:eastAsia="仿宋" w:cs="仿宋"/>
                <w:kern w:val="0"/>
                <w:sz w:val="20"/>
                <w:highlight w:val="none"/>
                <w:lang w:bidi="ar"/>
              </w:rPr>
              <w:t>4、社保：项目经理需提供应答截止之日近六个月内任意连续三个月由社保局或税务部门出具的在应答方单位工作缴纳社保证明清单</w:t>
            </w:r>
            <w:r>
              <w:rPr>
                <w:rFonts w:hint="eastAsia" w:ascii="仿宋" w:hAnsi="仿宋" w:eastAsia="仿宋" w:cs="仿宋"/>
                <w:kern w:val="0"/>
                <w:sz w:val="20"/>
                <w:highlight w:val="none"/>
                <w:lang w:eastAsia="zh-CN" w:bidi="ar"/>
              </w:rPr>
              <w:t>。</w:t>
            </w:r>
          </w:p>
          <w:p w14:paraId="167F13B6">
            <w:pPr>
              <w:rPr>
                <w:rFonts w:hint="eastAsia" w:ascii="仿宋" w:hAnsi="仿宋" w:eastAsia="仿宋" w:cs="仿宋"/>
                <w:kern w:val="0"/>
                <w:sz w:val="20"/>
                <w:highlight w:val="none"/>
                <w:lang w:bidi="ar"/>
              </w:rPr>
            </w:pPr>
            <w:r>
              <w:rPr>
                <w:rFonts w:hint="eastAsia" w:ascii="仿宋" w:hAnsi="仿宋" w:eastAsia="仿宋" w:cs="仿宋"/>
                <w:kern w:val="0"/>
                <w:sz w:val="20"/>
                <w:highlight w:val="none"/>
                <w:lang w:bidi="ar"/>
              </w:rPr>
              <w:t>5、</w:t>
            </w:r>
            <w:r>
              <w:rPr>
                <w:rFonts w:hint="eastAsia" w:ascii="仿宋" w:hAnsi="仿宋" w:eastAsia="仿宋" w:cs="仿宋"/>
                <w:sz w:val="20"/>
                <w:highlight w:val="none"/>
              </w:rPr>
              <w:t>工作经验：以最高学历毕业证书时间为准</w:t>
            </w:r>
            <w:r>
              <w:rPr>
                <w:rFonts w:hint="eastAsia" w:ascii="仿宋" w:hAnsi="仿宋" w:eastAsia="仿宋" w:cs="仿宋"/>
                <w:kern w:val="0"/>
                <w:sz w:val="20"/>
                <w:highlight w:val="none"/>
                <w:lang w:bidi="ar"/>
              </w:rPr>
              <w:t>。</w:t>
            </w:r>
          </w:p>
          <w:p w14:paraId="50970C6D">
            <w:pPr>
              <w:rPr>
                <w:rFonts w:hint="eastAsia" w:ascii="仿宋" w:hAnsi="仿宋" w:eastAsia="仿宋" w:cs="仿宋"/>
                <w:kern w:val="0"/>
                <w:sz w:val="20"/>
                <w:highlight w:val="none"/>
                <w:lang w:val="en-US" w:eastAsia="zh-CN" w:bidi="ar"/>
              </w:rPr>
            </w:pPr>
            <w:r>
              <w:rPr>
                <w:rFonts w:hint="eastAsia" w:ascii="仿宋" w:hAnsi="仿宋" w:eastAsia="仿宋" w:cs="仿宋"/>
                <w:color w:val="000000"/>
                <w:kern w:val="0"/>
                <w:sz w:val="20"/>
                <w:highlight w:val="none"/>
                <w:u w:val="none"/>
                <w:lang w:val="en-US" w:eastAsia="zh-CN"/>
              </w:rPr>
              <w:t>说明：劳动合同、社保证明不符合要求的，视作该人员与应答人的隶属关系不成立，该人员各项均不得分。</w:t>
            </w:r>
          </w:p>
        </w:tc>
      </w:tr>
      <w:tr w14:paraId="4A6C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vMerge w:val="continue"/>
            <w:noWrap/>
            <w:vAlign w:val="center"/>
          </w:tcPr>
          <w:p w14:paraId="67D28ECC">
            <w:pPr>
              <w:widowControl/>
              <w:jc w:val="center"/>
              <w:rPr>
                <w:rFonts w:hint="eastAsia" w:ascii="仿宋" w:hAnsi="仿宋" w:eastAsia="仿宋" w:cs="仿宋"/>
                <w:b/>
                <w:bCs/>
                <w:color w:val="000000"/>
                <w:kern w:val="0"/>
                <w:szCs w:val="21"/>
              </w:rPr>
            </w:pPr>
          </w:p>
        </w:tc>
        <w:tc>
          <w:tcPr>
            <w:tcW w:w="1032" w:type="dxa"/>
            <w:noWrap/>
            <w:vAlign w:val="center"/>
          </w:tcPr>
          <w:p w14:paraId="2F02F547">
            <w:pPr>
              <w:widowControl/>
              <w:jc w:val="center"/>
              <w:rPr>
                <w:rFonts w:hint="eastAsia" w:ascii="仿宋" w:hAnsi="仿宋" w:eastAsia="仿宋" w:cs="仿宋"/>
                <w:b/>
                <w:bCs/>
                <w:color w:val="000000"/>
                <w:kern w:val="0"/>
                <w:sz w:val="20"/>
                <w:lang w:bidi="ar"/>
              </w:rPr>
            </w:pPr>
            <w:r>
              <w:rPr>
                <w:rFonts w:hint="eastAsia" w:ascii="仿宋" w:hAnsi="仿宋" w:eastAsia="仿宋" w:cs="仿宋"/>
                <w:b/>
                <w:bCs/>
                <w:color w:val="000000"/>
                <w:kern w:val="0"/>
                <w:sz w:val="20"/>
              </w:rPr>
              <w:t>服务支持能力评估</w:t>
            </w:r>
          </w:p>
        </w:tc>
        <w:tc>
          <w:tcPr>
            <w:tcW w:w="555" w:type="dxa"/>
            <w:noWrap/>
            <w:vAlign w:val="center"/>
          </w:tcPr>
          <w:p w14:paraId="75C4E441">
            <w:pPr>
              <w:jc w:val="center"/>
              <w:rPr>
                <w:rFonts w:hint="eastAsia" w:ascii="仿宋" w:hAnsi="仿宋" w:eastAsia="仿宋" w:cs="仿宋"/>
                <w:color w:val="000000"/>
                <w:kern w:val="0"/>
                <w:sz w:val="20"/>
                <w:lang w:val="en-US" w:eastAsia="zh-CN" w:bidi="ar"/>
              </w:rPr>
            </w:pPr>
            <w:r>
              <w:rPr>
                <w:rFonts w:hint="eastAsia" w:ascii="仿宋" w:hAnsi="仿宋" w:eastAsia="仿宋" w:cs="仿宋"/>
                <w:color w:val="000000"/>
                <w:kern w:val="0"/>
                <w:sz w:val="20"/>
                <w:lang w:val="en-US" w:eastAsia="zh-CN" w:bidi="ar"/>
              </w:rPr>
              <w:t>3</w:t>
            </w:r>
          </w:p>
        </w:tc>
        <w:tc>
          <w:tcPr>
            <w:tcW w:w="5880" w:type="dxa"/>
            <w:vAlign w:val="center"/>
          </w:tcPr>
          <w:p w14:paraId="4F534E5F">
            <w:pPr>
              <w:rPr>
                <w:rFonts w:hint="eastAsia" w:ascii="仿宋" w:hAnsi="仿宋" w:eastAsia="仿宋" w:cs="仿宋"/>
                <w:color w:val="000000"/>
                <w:kern w:val="0"/>
                <w:sz w:val="20"/>
                <w:lang w:bidi="ar"/>
              </w:rPr>
            </w:pPr>
            <w:r>
              <w:rPr>
                <w:rFonts w:hint="eastAsia" w:ascii="仿宋" w:hAnsi="仿宋" w:eastAsia="仿宋" w:cs="仿宋"/>
                <w:color w:val="000000"/>
                <w:kern w:val="0"/>
                <w:sz w:val="20"/>
              </w:rPr>
              <w:t>在</w:t>
            </w:r>
            <w:r>
              <w:rPr>
                <w:rFonts w:hint="eastAsia" w:ascii="仿宋" w:hAnsi="仿宋" w:eastAsia="仿宋" w:cs="仿宋"/>
                <w:color w:val="000000"/>
                <w:kern w:val="0"/>
                <w:sz w:val="20"/>
                <w:lang w:val="en-US" w:eastAsia="zh-CN"/>
              </w:rPr>
              <w:t>杭州市</w:t>
            </w:r>
            <w:r>
              <w:rPr>
                <w:rFonts w:hint="eastAsia" w:ascii="仿宋" w:hAnsi="仿宋" w:eastAsia="仿宋" w:cs="仿宋"/>
                <w:color w:val="000000"/>
                <w:kern w:val="0"/>
                <w:sz w:val="20"/>
              </w:rPr>
              <w:t>设有服务点或承诺成交后30日内在</w:t>
            </w:r>
            <w:r>
              <w:rPr>
                <w:rFonts w:hint="eastAsia" w:ascii="仿宋" w:hAnsi="仿宋" w:eastAsia="仿宋" w:cs="仿宋"/>
                <w:color w:val="000000"/>
                <w:kern w:val="0"/>
                <w:sz w:val="20"/>
                <w:lang w:val="en-US" w:eastAsia="zh-CN"/>
              </w:rPr>
              <w:t>杭州市</w:t>
            </w:r>
            <w:r>
              <w:rPr>
                <w:rFonts w:hint="eastAsia" w:ascii="仿宋" w:hAnsi="仿宋" w:eastAsia="仿宋" w:cs="仿宋"/>
                <w:color w:val="000000"/>
                <w:kern w:val="0"/>
                <w:sz w:val="20"/>
              </w:rPr>
              <w:t>成立服务点的得</w:t>
            </w:r>
            <w:r>
              <w:rPr>
                <w:rFonts w:hint="eastAsia" w:ascii="仿宋" w:hAnsi="仿宋" w:eastAsia="仿宋" w:cs="仿宋"/>
                <w:color w:val="000000"/>
                <w:kern w:val="0"/>
                <w:sz w:val="20"/>
                <w:lang w:val="en-US" w:eastAsia="zh-CN"/>
              </w:rPr>
              <w:t>3</w:t>
            </w:r>
            <w:r>
              <w:rPr>
                <w:rFonts w:hint="eastAsia" w:ascii="仿宋" w:hAnsi="仿宋" w:eastAsia="仿宋" w:cs="仿宋"/>
                <w:color w:val="000000"/>
                <w:kern w:val="0"/>
                <w:sz w:val="20"/>
              </w:rPr>
              <w:t>分；无服务点且无相应承诺的得0分。</w:t>
            </w:r>
          </w:p>
        </w:tc>
        <w:tc>
          <w:tcPr>
            <w:tcW w:w="2422" w:type="dxa"/>
            <w:noWrap/>
            <w:vAlign w:val="center"/>
          </w:tcPr>
          <w:p w14:paraId="1605E0EC">
            <w:pPr>
              <w:widowControl/>
              <w:rPr>
                <w:rFonts w:hint="eastAsia" w:ascii="仿宋" w:hAnsi="仿宋" w:eastAsia="仿宋" w:cs="仿宋"/>
                <w:kern w:val="0"/>
                <w:sz w:val="20"/>
                <w:lang w:bidi="ar"/>
              </w:rPr>
            </w:pPr>
            <w:r>
              <w:rPr>
                <w:rFonts w:hint="eastAsia" w:ascii="仿宋" w:hAnsi="仿宋" w:eastAsia="仿宋" w:cs="仿宋"/>
                <w:sz w:val="20"/>
              </w:rPr>
              <w:t>提供营业执照或房产证明或办公场所租赁协议或承诺函。</w:t>
            </w:r>
          </w:p>
        </w:tc>
      </w:tr>
      <w:tr w14:paraId="77B8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678" w:type="dxa"/>
            <w:vMerge w:val="restart"/>
            <w:noWrap/>
            <w:vAlign w:val="center"/>
          </w:tcPr>
          <w:p w14:paraId="1814CFB2">
            <w:pPr>
              <w:widowControl/>
              <w:jc w:val="center"/>
              <w:rPr>
                <w:rFonts w:hint="eastAsia" w:ascii="仿宋" w:hAnsi="仿宋" w:eastAsia="仿宋" w:cs="仿宋"/>
                <w:b/>
                <w:bCs/>
                <w:color w:val="000000"/>
                <w:kern w:val="0"/>
                <w:szCs w:val="21"/>
              </w:rPr>
            </w:pPr>
            <w:bookmarkStart w:id="0" w:name="_GoBack" w:colFirst="1" w:colLast="3"/>
            <w:r>
              <w:rPr>
                <w:rFonts w:hint="eastAsia" w:ascii="仿宋" w:hAnsi="仿宋" w:eastAsia="仿宋" w:cs="仿宋"/>
                <w:b/>
                <w:bCs/>
                <w:color w:val="000000"/>
                <w:kern w:val="0"/>
                <w:szCs w:val="21"/>
              </w:rPr>
              <w:t>技术方案</w:t>
            </w:r>
          </w:p>
        </w:tc>
        <w:tc>
          <w:tcPr>
            <w:tcW w:w="1032" w:type="dxa"/>
            <w:shd w:val="clear" w:color="auto" w:fill="auto"/>
            <w:noWrap/>
            <w:vAlign w:val="center"/>
          </w:tcPr>
          <w:p w14:paraId="6799596E">
            <w:pPr>
              <w:widowControl/>
              <w:jc w:val="center"/>
              <w:rPr>
                <w:rFonts w:hint="eastAsia" w:ascii="仿宋" w:hAnsi="仿宋" w:eastAsia="仿宋" w:cs="仿宋"/>
                <w:b/>
                <w:bCs/>
                <w:kern w:val="0"/>
                <w:sz w:val="20"/>
              </w:rPr>
            </w:pPr>
            <w:r>
              <w:rPr>
                <w:rFonts w:hint="eastAsia" w:ascii="仿宋" w:hAnsi="仿宋" w:eastAsia="仿宋" w:cs="仿宋"/>
                <w:b/>
                <w:bCs/>
                <w:kern w:val="0"/>
                <w:sz w:val="20"/>
              </w:rPr>
              <w:t>整体服务方案和实用性</w:t>
            </w:r>
          </w:p>
        </w:tc>
        <w:tc>
          <w:tcPr>
            <w:tcW w:w="555" w:type="dxa"/>
            <w:shd w:val="clear" w:color="auto" w:fill="auto"/>
            <w:noWrap/>
            <w:vAlign w:val="center"/>
          </w:tcPr>
          <w:p w14:paraId="118606EA">
            <w:pPr>
              <w:widowControl/>
              <w:jc w:val="center"/>
              <w:textAlignment w:val="center"/>
              <w:rPr>
                <w:rFonts w:hint="default" w:ascii="仿宋" w:hAnsi="仿宋" w:eastAsia="仿宋" w:cs="仿宋"/>
                <w:sz w:val="20"/>
                <w:lang w:val="en-US" w:eastAsia="zh-CN"/>
              </w:rPr>
            </w:pPr>
            <w:r>
              <w:rPr>
                <w:rFonts w:hint="eastAsia" w:ascii="仿宋" w:hAnsi="仿宋" w:eastAsia="仿宋" w:cs="仿宋"/>
                <w:sz w:val="20"/>
                <w:lang w:val="en-US" w:eastAsia="zh-CN"/>
              </w:rPr>
              <w:t>10</w:t>
            </w:r>
          </w:p>
        </w:tc>
        <w:tc>
          <w:tcPr>
            <w:tcW w:w="5880" w:type="dxa"/>
            <w:shd w:val="clear" w:color="auto" w:fill="auto"/>
            <w:vAlign w:val="center"/>
          </w:tcPr>
          <w:p w14:paraId="48417FDA">
            <w:pPr>
              <w:rPr>
                <w:rFonts w:hint="eastAsia" w:ascii="仿宋" w:hAnsi="仿宋" w:eastAsia="仿宋" w:cs="仿宋"/>
                <w:color w:val="000000"/>
                <w:kern w:val="0"/>
                <w:sz w:val="20"/>
              </w:rPr>
            </w:pPr>
            <w:r>
              <w:rPr>
                <w:rFonts w:hint="eastAsia" w:ascii="仿宋" w:hAnsi="仿宋" w:eastAsia="仿宋" w:cs="仿宋"/>
                <w:color w:val="000000"/>
                <w:kern w:val="0"/>
                <w:sz w:val="20"/>
              </w:rPr>
              <w:t>针对需求及应用场景提供完整的实施方案、完备的测试及验收规范，整体方案科学严谨，内容全面合理，阐述清晰，针对性强，得（7,10]分；</w:t>
            </w:r>
          </w:p>
          <w:p w14:paraId="1D301AE9">
            <w:pPr>
              <w:rPr>
                <w:rFonts w:hint="eastAsia" w:ascii="仿宋" w:hAnsi="仿宋" w:eastAsia="仿宋" w:cs="仿宋"/>
                <w:color w:val="000000"/>
                <w:kern w:val="0"/>
                <w:sz w:val="20"/>
              </w:rPr>
            </w:pPr>
            <w:r>
              <w:rPr>
                <w:rFonts w:hint="eastAsia" w:ascii="仿宋" w:hAnsi="仿宋" w:eastAsia="仿宋" w:cs="仿宋"/>
                <w:color w:val="000000"/>
                <w:kern w:val="0"/>
                <w:sz w:val="20"/>
              </w:rPr>
              <w:t>实施方案及测试验收规范基本完整，较为严谨合理，阐述无大缺漏，有一定针对性，得（4,7]分；</w:t>
            </w:r>
          </w:p>
          <w:p w14:paraId="7608B80A">
            <w:pPr>
              <w:rPr>
                <w:rFonts w:hint="eastAsia" w:ascii="仿宋" w:hAnsi="仿宋" w:eastAsia="仿宋" w:cs="仿宋"/>
                <w:color w:val="000000"/>
                <w:kern w:val="0"/>
                <w:sz w:val="20"/>
              </w:rPr>
            </w:pPr>
            <w:r>
              <w:rPr>
                <w:rFonts w:hint="eastAsia" w:ascii="仿宋" w:hAnsi="仿宋" w:eastAsia="仿宋" w:cs="仿宋"/>
                <w:color w:val="000000"/>
                <w:kern w:val="0"/>
                <w:sz w:val="20"/>
              </w:rPr>
              <w:t>实施方案及测试验收规范较为简单，内容阐述有缺失，缺乏严谨性，针对性欠缺，得[1,4]分；</w:t>
            </w:r>
          </w:p>
          <w:p w14:paraId="0B8648E5">
            <w:pPr>
              <w:rPr>
                <w:rFonts w:hint="eastAsia" w:ascii="仿宋" w:hAnsi="仿宋" w:eastAsia="仿宋" w:cs="仿宋"/>
                <w:color w:val="000000"/>
                <w:kern w:val="0"/>
                <w:sz w:val="20"/>
              </w:rPr>
            </w:pPr>
            <w:r>
              <w:rPr>
                <w:rFonts w:hint="eastAsia" w:ascii="仿宋" w:hAnsi="仿宋" w:eastAsia="仿宋" w:cs="仿宋"/>
                <w:color w:val="000000"/>
                <w:kern w:val="0"/>
                <w:sz w:val="20"/>
              </w:rPr>
              <w:t>实施方案及测试验收规范粗糙无针对性，或无方案，得0分。</w:t>
            </w:r>
          </w:p>
        </w:tc>
        <w:tc>
          <w:tcPr>
            <w:tcW w:w="2422" w:type="dxa"/>
            <w:noWrap/>
            <w:vAlign w:val="center"/>
          </w:tcPr>
          <w:p w14:paraId="37093649">
            <w:pPr>
              <w:widowControl/>
              <w:rPr>
                <w:rFonts w:hint="eastAsia" w:ascii="仿宋" w:hAnsi="仿宋" w:eastAsia="仿宋" w:cs="仿宋"/>
                <w:kern w:val="0"/>
                <w:sz w:val="20"/>
                <w:lang w:bidi="ar"/>
              </w:rPr>
            </w:pPr>
          </w:p>
        </w:tc>
      </w:tr>
      <w:tr w14:paraId="3624C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78" w:type="dxa"/>
            <w:vMerge w:val="continue"/>
            <w:noWrap/>
            <w:vAlign w:val="center"/>
          </w:tcPr>
          <w:p w14:paraId="6519206A">
            <w:pPr>
              <w:widowControl/>
              <w:jc w:val="center"/>
              <w:rPr>
                <w:rFonts w:hint="eastAsia" w:ascii="仿宋" w:hAnsi="仿宋" w:eastAsia="仿宋" w:cs="仿宋"/>
                <w:b/>
                <w:bCs/>
                <w:color w:val="000000"/>
                <w:kern w:val="0"/>
                <w:szCs w:val="21"/>
              </w:rPr>
            </w:pPr>
          </w:p>
        </w:tc>
        <w:tc>
          <w:tcPr>
            <w:tcW w:w="1032" w:type="dxa"/>
            <w:shd w:val="clear" w:color="auto" w:fill="auto"/>
            <w:noWrap/>
            <w:vAlign w:val="center"/>
          </w:tcPr>
          <w:p w14:paraId="07BBA422">
            <w:pPr>
              <w:widowControl/>
              <w:jc w:val="center"/>
              <w:rPr>
                <w:rFonts w:hint="eastAsia" w:ascii="仿宋" w:hAnsi="仿宋" w:eastAsia="仿宋" w:cs="仿宋"/>
                <w:b/>
                <w:bCs/>
                <w:kern w:val="0"/>
                <w:sz w:val="20"/>
              </w:rPr>
            </w:pPr>
            <w:r>
              <w:rPr>
                <w:rFonts w:hint="eastAsia" w:ascii="仿宋" w:hAnsi="仿宋" w:eastAsia="仿宋" w:cs="仿宋"/>
                <w:b/>
                <w:bCs/>
                <w:kern w:val="0"/>
                <w:sz w:val="20"/>
              </w:rPr>
              <w:t>技术实施合理性、可控性</w:t>
            </w:r>
          </w:p>
        </w:tc>
        <w:tc>
          <w:tcPr>
            <w:tcW w:w="555" w:type="dxa"/>
            <w:shd w:val="clear" w:color="auto" w:fill="auto"/>
            <w:noWrap/>
            <w:vAlign w:val="center"/>
          </w:tcPr>
          <w:p w14:paraId="7C4A972D">
            <w:pPr>
              <w:widowControl/>
              <w:jc w:val="center"/>
              <w:textAlignment w:val="center"/>
              <w:rPr>
                <w:rFonts w:hint="eastAsia" w:ascii="仿宋" w:hAnsi="仿宋" w:eastAsia="仿宋" w:cs="仿宋"/>
                <w:sz w:val="20"/>
                <w:lang w:eastAsia="zh-CN"/>
              </w:rPr>
            </w:pPr>
            <w:r>
              <w:rPr>
                <w:rFonts w:hint="eastAsia" w:ascii="仿宋" w:hAnsi="仿宋" w:eastAsia="仿宋" w:cs="仿宋"/>
                <w:sz w:val="20"/>
                <w:lang w:val="en-US" w:eastAsia="zh-CN"/>
              </w:rPr>
              <w:t>5</w:t>
            </w:r>
          </w:p>
        </w:tc>
        <w:tc>
          <w:tcPr>
            <w:tcW w:w="5880" w:type="dxa"/>
            <w:shd w:val="clear" w:color="auto" w:fill="auto"/>
            <w:vAlign w:val="center"/>
          </w:tcPr>
          <w:p w14:paraId="3EB43DCF">
            <w:pPr>
              <w:rPr>
                <w:rFonts w:hint="eastAsia" w:ascii="仿宋" w:hAnsi="仿宋" w:eastAsia="仿宋" w:cs="仿宋"/>
                <w:color w:val="000000"/>
                <w:kern w:val="0"/>
                <w:sz w:val="20"/>
              </w:rPr>
            </w:pPr>
            <w:r>
              <w:rPr>
                <w:rFonts w:hint="eastAsia" w:ascii="仿宋" w:hAnsi="仿宋" w:eastAsia="仿宋" w:cs="仿宋"/>
                <w:color w:val="000000"/>
                <w:kern w:val="0"/>
                <w:sz w:val="20"/>
              </w:rPr>
              <w:t>项目进度计划充分满足要求且各阶段任务分解合理（</w:t>
            </w:r>
            <w:r>
              <w:rPr>
                <w:rFonts w:hint="eastAsia" w:ascii="仿宋" w:hAnsi="仿宋" w:eastAsia="仿宋" w:cs="仿宋"/>
                <w:color w:val="000000"/>
                <w:kern w:val="0"/>
                <w:sz w:val="20"/>
                <w:lang w:val="en-US" w:eastAsia="zh-CN"/>
              </w:rPr>
              <w:t>项目管理</w:t>
            </w:r>
            <w:r>
              <w:rPr>
                <w:rFonts w:hint="eastAsia" w:ascii="仿宋" w:hAnsi="仿宋" w:eastAsia="仿宋" w:cs="仿宋"/>
                <w:color w:val="000000"/>
                <w:kern w:val="0"/>
                <w:sz w:val="20"/>
              </w:rPr>
              <w:t>体系/服务响应/质量保证措施），可控性高得(3,5]分；项目进度计划能满足任务要求，可控性一般得（0,3]分；项目进度计划安排不合理，可控性差得0分</w:t>
            </w:r>
          </w:p>
        </w:tc>
        <w:tc>
          <w:tcPr>
            <w:tcW w:w="2422" w:type="dxa"/>
            <w:noWrap/>
            <w:vAlign w:val="center"/>
          </w:tcPr>
          <w:p w14:paraId="1E666A4A">
            <w:pPr>
              <w:widowControl/>
              <w:rPr>
                <w:rFonts w:hint="eastAsia" w:ascii="仿宋" w:hAnsi="仿宋" w:eastAsia="仿宋" w:cs="仿宋"/>
                <w:color w:val="000000"/>
                <w:kern w:val="0"/>
                <w:sz w:val="20"/>
                <w:lang w:bidi="ar"/>
              </w:rPr>
            </w:pPr>
          </w:p>
        </w:tc>
      </w:tr>
      <w:tr w14:paraId="5424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678" w:type="dxa"/>
            <w:vMerge w:val="continue"/>
            <w:noWrap/>
            <w:vAlign w:val="center"/>
          </w:tcPr>
          <w:p w14:paraId="59AA26F9">
            <w:pPr>
              <w:widowControl/>
              <w:jc w:val="center"/>
              <w:rPr>
                <w:rFonts w:hint="eastAsia" w:ascii="仿宋" w:hAnsi="仿宋" w:eastAsia="仿宋" w:cs="仿宋"/>
                <w:b/>
                <w:bCs/>
                <w:color w:val="000000"/>
                <w:kern w:val="0"/>
                <w:sz w:val="20"/>
              </w:rPr>
            </w:pPr>
          </w:p>
        </w:tc>
        <w:tc>
          <w:tcPr>
            <w:tcW w:w="1032" w:type="dxa"/>
            <w:shd w:val="clear" w:color="auto" w:fill="auto"/>
            <w:noWrap/>
            <w:vAlign w:val="center"/>
          </w:tcPr>
          <w:p w14:paraId="17848631">
            <w:pPr>
              <w:widowControl/>
              <w:jc w:val="center"/>
              <w:rPr>
                <w:rFonts w:hint="eastAsia" w:ascii="仿宋" w:hAnsi="仿宋" w:eastAsia="仿宋" w:cs="仿宋"/>
                <w:b/>
                <w:bCs/>
                <w:kern w:val="0"/>
                <w:sz w:val="20"/>
              </w:rPr>
            </w:pPr>
            <w:r>
              <w:rPr>
                <w:rFonts w:hint="eastAsia" w:ascii="仿宋" w:hAnsi="仿宋" w:eastAsia="仿宋" w:cs="仿宋"/>
                <w:b/>
                <w:bCs/>
                <w:kern w:val="0"/>
                <w:sz w:val="20"/>
              </w:rPr>
              <w:t>技术转移及培训</w:t>
            </w:r>
          </w:p>
        </w:tc>
        <w:tc>
          <w:tcPr>
            <w:tcW w:w="555" w:type="dxa"/>
            <w:shd w:val="clear" w:color="auto" w:fill="auto"/>
            <w:noWrap/>
            <w:vAlign w:val="center"/>
          </w:tcPr>
          <w:p w14:paraId="1E69C1D6">
            <w:pPr>
              <w:widowControl/>
              <w:jc w:val="center"/>
              <w:textAlignment w:val="center"/>
              <w:rPr>
                <w:rFonts w:hint="eastAsia" w:ascii="仿宋" w:hAnsi="仿宋" w:eastAsia="仿宋" w:cs="仿宋"/>
                <w:sz w:val="20"/>
              </w:rPr>
            </w:pPr>
            <w:r>
              <w:rPr>
                <w:rFonts w:hint="eastAsia" w:ascii="仿宋" w:hAnsi="仿宋" w:eastAsia="仿宋" w:cs="仿宋"/>
                <w:sz w:val="20"/>
              </w:rPr>
              <w:t>5</w:t>
            </w:r>
          </w:p>
        </w:tc>
        <w:tc>
          <w:tcPr>
            <w:tcW w:w="5880" w:type="dxa"/>
            <w:shd w:val="clear" w:color="auto" w:fill="auto"/>
            <w:vAlign w:val="center"/>
          </w:tcPr>
          <w:p w14:paraId="6F5499AE">
            <w:pPr>
              <w:rPr>
                <w:rFonts w:hint="eastAsia" w:ascii="仿宋" w:hAnsi="仿宋" w:eastAsia="仿宋" w:cs="仿宋"/>
                <w:color w:val="000000"/>
                <w:kern w:val="0"/>
                <w:sz w:val="20"/>
              </w:rPr>
            </w:pPr>
            <w:r>
              <w:rPr>
                <w:rFonts w:hint="eastAsia" w:ascii="仿宋" w:hAnsi="仿宋" w:eastAsia="仿宋" w:cs="仿宋"/>
                <w:color w:val="000000"/>
                <w:kern w:val="0"/>
                <w:sz w:val="20"/>
              </w:rPr>
              <w:t>1、有完善培训机制和安排，技术转移有相应手段，说明翔实可操作，得(3,5]分；</w:t>
            </w:r>
          </w:p>
          <w:p w14:paraId="38555E2F">
            <w:pPr>
              <w:rPr>
                <w:rFonts w:hint="eastAsia" w:ascii="仿宋" w:hAnsi="仿宋" w:eastAsia="仿宋" w:cs="仿宋"/>
                <w:color w:val="000000"/>
                <w:kern w:val="0"/>
                <w:sz w:val="20"/>
              </w:rPr>
            </w:pPr>
            <w:r>
              <w:rPr>
                <w:rFonts w:hint="eastAsia" w:ascii="仿宋" w:hAnsi="仿宋" w:eastAsia="仿宋" w:cs="仿宋"/>
                <w:color w:val="000000"/>
                <w:kern w:val="0"/>
                <w:sz w:val="20"/>
              </w:rPr>
              <w:t>2、有一定培训机制，但是不够完善，得（0,3]分；</w:t>
            </w:r>
          </w:p>
          <w:p w14:paraId="491E244E">
            <w:pPr>
              <w:rPr>
                <w:rFonts w:hint="eastAsia" w:ascii="仿宋" w:hAnsi="仿宋" w:eastAsia="仿宋" w:cs="仿宋"/>
                <w:color w:val="000000"/>
                <w:kern w:val="0"/>
                <w:sz w:val="20"/>
              </w:rPr>
            </w:pPr>
            <w:r>
              <w:rPr>
                <w:rFonts w:hint="eastAsia" w:ascii="仿宋" w:hAnsi="仿宋" w:eastAsia="仿宋" w:cs="仿宋"/>
                <w:color w:val="000000"/>
                <w:kern w:val="0"/>
                <w:sz w:val="20"/>
              </w:rPr>
              <w:t>3、无培训机制，得0分</w:t>
            </w:r>
          </w:p>
        </w:tc>
        <w:tc>
          <w:tcPr>
            <w:tcW w:w="2422" w:type="dxa"/>
            <w:noWrap/>
            <w:vAlign w:val="center"/>
          </w:tcPr>
          <w:p w14:paraId="7C2F17AE">
            <w:pPr>
              <w:rPr>
                <w:rFonts w:hint="eastAsia" w:ascii="仿宋" w:hAnsi="仿宋" w:eastAsia="仿宋" w:cs="仿宋"/>
                <w:kern w:val="0"/>
                <w:sz w:val="20"/>
              </w:rPr>
            </w:pPr>
          </w:p>
        </w:tc>
      </w:tr>
      <w:bookmarkEnd w:id="0"/>
      <w:tr w14:paraId="61EB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678" w:type="dxa"/>
            <w:vMerge w:val="continue"/>
            <w:noWrap/>
            <w:vAlign w:val="center"/>
          </w:tcPr>
          <w:p w14:paraId="1E200E99">
            <w:pPr>
              <w:widowControl/>
              <w:jc w:val="center"/>
              <w:rPr>
                <w:rFonts w:hint="eastAsia" w:ascii="仿宋" w:hAnsi="仿宋" w:eastAsia="仿宋" w:cs="仿宋"/>
                <w:b/>
                <w:bCs/>
                <w:color w:val="000000"/>
                <w:kern w:val="0"/>
                <w:sz w:val="20"/>
              </w:rPr>
            </w:pPr>
          </w:p>
        </w:tc>
        <w:tc>
          <w:tcPr>
            <w:tcW w:w="1032" w:type="dxa"/>
            <w:shd w:val="clear" w:color="auto" w:fill="auto"/>
            <w:noWrap/>
            <w:vAlign w:val="center"/>
          </w:tcPr>
          <w:p w14:paraId="162069E6">
            <w:pPr>
              <w:widowControl/>
              <w:jc w:val="center"/>
              <w:rPr>
                <w:rFonts w:hint="eastAsia" w:ascii="仿宋" w:hAnsi="仿宋" w:eastAsia="仿宋" w:cs="仿宋"/>
                <w:b/>
                <w:bCs/>
                <w:kern w:val="0"/>
                <w:sz w:val="20"/>
              </w:rPr>
            </w:pPr>
            <w:r>
              <w:rPr>
                <w:rFonts w:hint="eastAsia" w:ascii="仿宋" w:hAnsi="仿宋" w:eastAsia="仿宋" w:cs="仿宋"/>
                <w:b/>
                <w:bCs/>
                <w:kern w:val="0"/>
                <w:sz w:val="20"/>
              </w:rPr>
              <w:t>技术支撑服务技术要求</w:t>
            </w:r>
          </w:p>
        </w:tc>
        <w:tc>
          <w:tcPr>
            <w:tcW w:w="555" w:type="dxa"/>
            <w:shd w:val="clear" w:color="auto" w:fill="auto"/>
            <w:noWrap/>
            <w:vAlign w:val="center"/>
          </w:tcPr>
          <w:p w14:paraId="3AE0ECE8">
            <w:pPr>
              <w:widowControl/>
              <w:jc w:val="center"/>
              <w:textAlignment w:val="center"/>
              <w:rPr>
                <w:rFonts w:hint="default" w:ascii="仿宋" w:hAnsi="仿宋" w:eastAsia="仿宋" w:cs="仿宋"/>
                <w:sz w:val="20"/>
                <w:highlight w:val="none"/>
                <w:lang w:val="en-US" w:eastAsia="zh-CN"/>
              </w:rPr>
            </w:pPr>
            <w:r>
              <w:rPr>
                <w:rFonts w:hint="eastAsia" w:ascii="仿宋" w:hAnsi="仿宋" w:eastAsia="仿宋" w:cs="仿宋"/>
                <w:sz w:val="20"/>
                <w:highlight w:val="none"/>
                <w:lang w:val="en-US" w:eastAsia="zh-CN"/>
              </w:rPr>
              <w:t>21</w:t>
            </w:r>
          </w:p>
        </w:tc>
        <w:tc>
          <w:tcPr>
            <w:tcW w:w="5880" w:type="dxa"/>
            <w:shd w:val="clear" w:color="auto" w:fill="auto"/>
            <w:vAlign w:val="center"/>
          </w:tcPr>
          <w:p w14:paraId="4696B89C">
            <w:pPr>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lang w:val="en-US" w:eastAsia="zh-CN"/>
              </w:rPr>
              <w:t>根据</w:t>
            </w:r>
            <w:r>
              <w:rPr>
                <w:rFonts w:hint="eastAsia" w:ascii="仿宋" w:hAnsi="仿宋" w:eastAsia="仿宋" w:cs="仿宋"/>
                <w:color w:val="000000"/>
                <w:kern w:val="0"/>
                <w:sz w:val="20"/>
                <w:highlight w:val="none"/>
              </w:rPr>
              <w:t>技术规范书</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lang w:val="en-US" w:eastAsia="zh-CN"/>
              </w:rPr>
              <w:t>3.</w:t>
            </w:r>
            <w:r>
              <w:rPr>
                <w:rFonts w:hint="eastAsia" w:ascii="仿宋" w:hAnsi="仿宋" w:eastAsia="仿宋" w:cs="仿宋"/>
                <w:color w:val="000000"/>
                <w:kern w:val="0"/>
                <w:sz w:val="20"/>
                <w:highlight w:val="none"/>
                <w:lang w:eastAsia="zh-CN"/>
              </w:rPr>
              <w:t>服务内容及要求”</w:t>
            </w:r>
            <w:r>
              <w:rPr>
                <w:rFonts w:hint="eastAsia" w:ascii="仿宋" w:hAnsi="仿宋" w:eastAsia="仿宋" w:cs="仿宋"/>
                <w:color w:val="000000"/>
                <w:kern w:val="0"/>
                <w:sz w:val="20"/>
                <w:highlight w:val="none"/>
              </w:rPr>
              <w:t>中的</w:t>
            </w:r>
            <w:r>
              <w:rPr>
                <w:rFonts w:hint="eastAsia" w:ascii="仿宋" w:hAnsi="仿宋" w:eastAsia="仿宋" w:cs="仿宋"/>
                <w:color w:val="000000"/>
                <w:kern w:val="0"/>
                <w:sz w:val="20"/>
                <w:highlight w:val="none"/>
                <w:lang w:val="en-US" w:eastAsia="zh-CN"/>
              </w:rPr>
              <w:t>内容进行评审</w:t>
            </w:r>
            <w:r>
              <w:rPr>
                <w:rFonts w:hint="eastAsia" w:ascii="仿宋" w:hAnsi="仿宋" w:eastAsia="仿宋" w:cs="仿宋"/>
                <w:color w:val="000000"/>
                <w:kern w:val="0"/>
                <w:sz w:val="20"/>
                <w:highlight w:val="none"/>
              </w:rPr>
              <w:t>，本项最高得</w:t>
            </w:r>
            <w:r>
              <w:rPr>
                <w:rFonts w:hint="eastAsia" w:ascii="仿宋" w:hAnsi="仿宋" w:eastAsia="仿宋" w:cs="仿宋"/>
                <w:color w:val="000000"/>
                <w:kern w:val="0"/>
                <w:sz w:val="20"/>
                <w:highlight w:val="none"/>
                <w:lang w:val="en-US" w:eastAsia="zh-CN"/>
              </w:rPr>
              <w:t>21</w:t>
            </w:r>
            <w:r>
              <w:rPr>
                <w:rFonts w:hint="eastAsia" w:ascii="仿宋" w:hAnsi="仿宋" w:eastAsia="仿宋" w:cs="仿宋"/>
                <w:color w:val="000000"/>
                <w:kern w:val="0"/>
                <w:sz w:val="20"/>
                <w:highlight w:val="none"/>
              </w:rPr>
              <w:t>分：</w:t>
            </w:r>
          </w:p>
          <w:p w14:paraId="33E3A5EA">
            <w:pPr>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shd w:val="clear"/>
              </w:rPr>
              <w:t>1、</w:t>
            </w:r>
            <w:r>
              <w:rPr>
                <w:rFonts w:hint="eastAsia" w:ascii="仿宋" w:hAnsi="仿宋" w:eastAsia="仿宋" w:cs="仿宋"/>
                <w:color w:val="000000"/>
                <w:kern w:val="0"/>
                <w:sz w:val="20"/>
                <w:highlight w:val="none"/>
                <w:shd w:val="clear"/>
                <w:lang w:val="en-US" w:eastAsia="zh-CN"/>
              </w:rPr>
              <w:t>ASR功能升级</w:t>
            </w:r>
            <w:r>
              <w:rPr>
                <w:rFonts w:hint="eastAsia" w:ascii="仿宋" w:hAnsi="仿宋" w:eastAsia="仿宋" w:cs="仿宋"/>
                <w:color w:val="000000"/>
                <w:kern w:val="0"/>
                <w:sz w:val="20"/>
                <w:highlight w:val="none"/>
                <w:lang w:val="en-US" w:eastAsia="zh-CN"/>
              </w:rPr>
              <w:t>：引擎与配置管理功能、实时转写与识别处理功能、引擎运维与系统监控功能，每项完全满足得3分</w:t>
            </w:r>
            <w:r>
              <w:rPr>
                <w:rFonts w:hint="eastAsia" w:ascii="仿宋" w:hAnsi="仿宋" w:eastAsia="仿宋" w:cs="仿宋"/>
                <w:color w:val="000000"/>
                <w:kern w:val="0"/>
                <w:sz w:val="20"/>
                <w:highlight w:val="none"/>
              </w:rPr>
              <w:t>，</w:t>
            </w:r>
            <w:r>
              <w:rPr>
                <w:rFonts w:hint="eastAsia" w:ascii="仿宋" w:hAnsi="仿宋" w:eastAsia="仿宋" w:cs="仿宋"/>
                <w:color w:val="000000"/>
                <w:kern w:val="0"/>
                <w:sz w:val="20"/>
                <w:highlight w:val="none"/>
                <w:lang w:val="en-US" w:eastAsia="zh-CN"/>
              </w:rPr>
              <w:t>部分满足得1分，</w:t>
            </w:r>
            <w:r>
              <w:rPr>
                <w:rFonts w:hint="eastAsia" w:ascii="仿宋" w:hAnsi="仿宋" w:eastAsia="仿宋" w:cs="仿宋"/>
                <w:color w:val="000000"/>
                <w:kern w:val="0"/>
                <w:sz w:val="20"/>
                <w:highlight w:val="none"/>
              </w:rPr>
              <w:t>不满足不得分，最高得</w:t>
            </w:r>
            <w:r>
              <w:rPr>
                <w:rFonts w:hint="eastAsia" w:ascii="仿宋" w:hAnsi="仿宋" w:eastAsia="仿宋" w:cs="仿宋"/>
                <w:color w:val="000000"/>
                <w:kern w:val="0"/>
                <w:sz w:val="20"/>
                <w:highlight w:val="none"/>
                <w:lang w:val="en-US" w:eastAsia="zh-CN"/>
              </w:rPr>
              <w:t>9</w:t>
            </w:r>
            <w:r>
              <w:rPr>
                <w:rFonts w:hint="eastAsia" w:ascii="仿宋" w:hAnsi="仿宋" w:eastAsia="仿宋" w:cs="仿宋"/>
                <w:color w:val="000000"/>
                <w:kern w:val="0"/>
                <w:sz w:val="20"/>
                <w:highlight w:val="none"/>
              </w:rPr>
              <w:t>分。</w:t>
            </w:r>
          </w:p>
          <w:p w14:paraId="2223CB9C">
            <w:pPr>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shd w:val="clear"/>
              </w:rPr>
              <w:t>2、</w:t>
            </w:r>
            <w:r>
              <w:rPr>
                <w:rFonts w:hint="eastAsia" w:ascii="仿宋" w:hAnsi="仿宋" w:eastAsia="仿宋" w:cs="仿宋"/>
                <w:color w:val="000000"/>
                <w:kern w:val="0"/>
                <w:sz w:val="20"/>
                <w:highlight w:val="none"/>
                <w:shd w:val="clear"/>
                <w:lang w:val="en-US" w:eastAsia="zh-CN"/>
              </w:rPr>
              <w:t>TTS功能升级：</w:t>
            </w:r>
            <w:r>
              <w:rPr>
                <w:rFonts w:hint="eastAsia" w:ascii="仿宋" w:hAnsi="仿宋" w:eastAsia="仿宋" w:cs="仿宋"/>
                <w:color w:val="000000"/>
                <w:kern w:val="0"/>
                <w:sz w:val="20"/>
                <w:highlight w:val="none"/>
                <w:shd w:val="clear"/>
              </w:rPr>
              <w:t>音频参数与发音人管理、</w:t>
            </w:r>
            <w:r>
              <w:rPr>
                <w:rFonts w:hint="eastAsia" w:ascii="仿宋" w:hAnsi="仿宋" w:eastAsia="仿宋" w:cs="仿宋"/>
                <w:color w:val="000000"/>
                <w:kern w:val="0"/>
                <w:sz w:val="20"/>
                <w:highlight w:val="none"/>
                <w:shd w:val="clear"/>
                <w:lang w:val="en-US" w:eastAsia="zh-CN"/>
              </w:rPr>
              <w:t>音色管理</w:t>
            </w:r>
            <w:r>
              <w:rPr>
                <w:rFonts w:hint="eastAsia" w:ascii="仿宋" w:hAnsi="仿宋" w:eastAsia="仿宋" w:cs="仿宋"/>
                <w:color w:val="000000"/>
                <w:kern w:val="0"/>
                <w:sz w:val="20"/>
                <w:highlight w:val="none"/>
                <w:shd w:val="clear"/>
              </w:rPr>
              <w:t>功能</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rPr>
              <w:t>文本预处理功能</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rPr>
              <w:t>音频生成输出功能，</w:t>
            </w:r>
            <w:r>
              <w:rPr>
                <w:rFonts w:hint="eastAsia" w:ascii="仿宋" w:hAnsi="仿宋" w:eastAsia="仿宋" w:cs="仿宋"/>
                <w:color w:val="000000"/>
                <w:kern w:val="0"/>
                <w:sz w:val="20"/>
                <w:highlight w:val="none"/>
                <w:lang w:val="en-US" w:eastAsia="zh-CN"/>
              </w:rPr>
              <w:t>每项完全满足</w:t>
            </w:r>
            <w:r>
              <w:rPr>
                <w:rFonts w:hint="eastAsia" w:ascii="仿宋" w:hAnsi="仿宋" w:eastAsia="仿宋" w:cs="仿宋"/>
                <w:color w:val="000000"/>
                <w:kern w:val="0"/>
                <w:sz w:val="20"/>
                <w:highlight w:val="none"/>
              </w:rPr>
              <w:t>得</w:t>
            </w:r>
            <w:r>
              <w:rPr>
                <w:rFonts w:hint="eastAsia" w:ascii="仿宋" w:hAnsi="仿宋" w:eastAsia="仿宋" w:cs="仿宋"/>
                <w:color w:val="000000"/>
                <w:kern w:val="0"/>
                <w:sz w:val="20"/>
                <w:highlight w:val="none"/>
                <w:lang w:val="en-US" w:eastAsia="zh-CN"/>
              </w:rPr>
              <w:t>3</w:t>
            </w:r>
            <w:r>
              <w:rPr>
                <w:rFonts w:hint="eastAsia" w:ascii="仿宋" w:hAnsi="仿宋" w:eastAsia="仿宋" w:cs="仿宋"/>
                <w:color w:val="000000"/>
                <w:kern w:val="0"/>
                <w:sz w:val="20"/>
                <w:highlight w:val="none"/>
              </w:rPr>
              <w:t>分，</w:t>
            </w:r>
            <w:r>
              <w:rPr>
                <w:rFonts w:hint="eastAsia" w:ascii="仿宋" w:hAnsi="仿宋" w:eastAsia="仿宋" w:cs="仿宋"/>
                <w:color w:val="000000"/>
                <w:kern w:val="0"/>
                <w:sz w:val="20"/>
                <w:highlight w:val="none"/>
                <w:lang w:val="en-US" w:eastAsia="zh-CN"/>
              </w:rPr>
              <w:t>部分满足得1分，</w:t>
            </w:r>
            <w:r>
              <w:rPr>
                <w:rFonts w:hint="eastAsia" w:ascii="仿宋" w:hAnsi="仿宋" w:eastAsia="仿宋" w:cs="仿宋"/>
                <w:color w:val="000000"/>
                <w:kern w:val="0"/>
                <w:sz w:val="20"/>
                <w:highlight w:val="none"/>
              </w:rPr>
              <w:t>不满足不得分，最高得分</w:t>
            </w:r>
            <w:r>
              <w:rPr>
                <w:rFonts w:hint="eastAsia" w:ascii="仿宋" w:hAnsi="仿宋" w:eastAsia="仿宋" w:cs="仿宋"/>
                <w:color w:val="000000"/>
                <w:kern w:val="0"/>
                <w:sz w:val="20"/>
                <w:highlight w:val="none"/>
                <w:lang w:val="en-US" w:eastAsia="zh-CN"/>
              </w:rPr>
              <w:t>12</w:t>
            </w:r>
            <w:r>
              <w:rPr>
                <w:rFonts w:hint="eastAsia" w:ascii="仿宋" w:hAnsi="仿宋" w:eastAsia="仿宋" w:cs="仿宋"/>
                <w:color w:val="000000"/>
                <w:kern w:val="0"/>
                <w:sz w:val="20"/>
                <w:highlight w:val="none"/>
              </w:rPr>
              <w:t>分。</w:t>
            </w:r>
          </w:p>
        </w:tc>
        <w:tc>
          <w:tcPr>
            <w:tcW w:w="2422" w:type="dxa"/>
            <w:noWrap/>
            <w:vAlign w:val="center"/>
          </w:tcPr>
          <w:p w14:paraId="6DDB8ABC">
            <w:pPr>
              <w:rPr>
                <w:rFonts w:hint="eastAsia" w:ascii="仿宋" w:hAnsi="仿宋" w:eastAsia="仿宋" w:cs="仿宋"/>
                <w:kern w:val="0"/>
                <w:sz w:val="20"/>
                <w:highlight w:val="none"/>
                <w:lang w:eastAsia="zh-CN"/>
              </w:rPr>
            </w:pPr>
            <w:r>
              <w:rPr>
                <w:rFonts w:hint="eastAsia" w:ascii="仿宋" w:hAnsi="仿宋" w:eastAsia="仿宋" w:cs="仿宋"/>
                <w:sz w:val="20"/>
                <w:highlight w:val="none"/>
              </w:rPr>
              <w:t>提供</w:t>
            </w:r>
            <w:r>
              <w:rPr>
                <w:rFonts w:ascii="仿宋" w:hAnsi="仿宋" w:eastAsia="仿宋" w:cs="仿宋"/>
                <w:sz w:val="20"/>
                <w:highlight w:val="none"/>
              </w:rPr>
              <w:t>类似系统</w:t>
            </w:r>
            <w:r>
              <w:rPr>
                <w:rFonts w:hint="eastAsia" w:ascii="仿宋" w:hAnsi="仿宋" w:eastAsia="仿宋" w:cs="仿宋"/>
                <w:sz w:val="20"/>
                <w:highlight w:val="none"/>
              </w:rPr>
              <w:t>的详细功能描述或演示截图或视频演示（演示视频时间为15分钟以内，超过15分钟不得分，格式为windows自带软件可打开的格式）。</w:t>
            </w:r>
          </w:p>
        </w:tc>
      </w:tr>
      <w:tr w14:paraId="745D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vMerge w:val="continue"/>
            <w:noWrap/>
            <w:vAlign w:val="center"/>
          </w:tcPr>
          <w:p w14:paraId="6B089FA6">
            <w:pPr>
              <w:widowControl/>
              <w:jc w:val="center"/>
              <w:rPr>
                <w:rFonts w:hint="eastAsia" w:ascii="仿宋" w:hAnsi="仿宋" w:eastAsia="仿宋" w:cs="仿宋"/>
                <w:b/>
                <w:bCs/>
                <w:color w:val="000000"/>
                <w:kern w:val="0"/>
                <w:sz w:val="20"/>
              </w:rPr>
            </w:pPr>
          </w:p>
        </w:tc>
        <w:tc>
          <w:tcPr>
            <w:tcW w:w="1032" w:type="dxa"/>
            <w:shd w:val="clear" w:color="auto" w:fill="auto"/>
            <w:noWrap/>
            <w:vAlign w:val="center"/>
          </w:tcPr>
          <w:p w14:paraId="3691454D">
            <w:pPr>
              <w:widowControl/>
              <w:jc w:val="center"/>
              <w:rPr>
                <w:rFonts w:hint="eastAsia" w:ascii="仿宋" w:hAnsi="仿宋" w:eastAsia="仿宋" w:cs="仿宋"/>
                <w:b/>
                <w:bCs/>
                <w:kern w:val="0"/>
                <w:sz w:val="20"/>
              </w:rPr>
            </w:pPr>
            <w:r>
              <w:rPr>
                <w:rFonts w:hint="eastAsia" w:ascii="仿宋" w:hAnsi="仿宋" w:eastAsia="仿宋" w:cs="仿宋"/>
                <w:b/>
                <w:bCs/>
                <w:kern w:val="0"/>
                <w:sz w:val="20"/>
              </w:rPr>
              <w:t>技术支撑实力</w:t>
            </w:r>
          </w:p>
        </w:tc>
        <w:tc>
          <w:tcPr>
            <w:tcW w:w="555" w:type="dxa"/>
            <w:shd w:val="clear" w:color="auto" w:fill="auto"/>
            <w:noWrap/>
            <w:vAlign w:val="center"/>
          </w:tcPr>
          <w:p w14:paraId="0FE1FB3E">
            <w:pPr>
              <w:widowControl/>
              <w:jc w:val="center"/>
              <w:textAlignment w:val="center"/>
              <w:rPr>
                <w:rFonts w:hint="default" w:ascii="仿宋" w:hAnsi="仿宋" w:eastAsia="仿宋" w:cs="仿宋"/>
                <w:sz w:val="20"/>
                <w:highlight w:val="none"/>
                <w:lang w:val="en-US" w:eastAsia="zh-CN"/>
              </w:rPr>
            </w:pPr>
            <w:r>
              <w:rPr>
                <w:rFonts w:hint="eastAsia" w:ascii="仿宋" w:hAnsi="仿宋" w:eastAsia="仿宋" w:cs="仿宋"/>
                <w:sz w:val="20"/>
                <w:highlight w:val="none"/>
                <w:lang w:val="en-US" w:eastAsia="zh-CN"/>
              </w:rPr>
              <w:t>10</w:t>
            </w:r>
          </w:p>
        </w:tc>
        <w:tc>
          <w:tcPr>
            <w:tcW w:w="5880" w:type="dxa"/>
            <w:shd w:val="clear" w:color="auto" w:fill="auto"/>
            <w:vAlign w:val="center"/>
          </w:tcPr>
          <w:p w14:paraId="5300CBD5">
            <w:pPr>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rPr>
              <w:t>应答人需提供</w:t>
            </w:r>
            <w:r>
              <w:rPr>
                <w:rFonts w:hint="eastAsia" w:ascii="仿宋" w:hAnsi="仿宋" w:eastAsia="仿宋" w:cs="仿宋"/>
                <w:color w:val="000000"/>
                <w:kern w:val="0"/>
                <w:sz w:val="20"/>
                <w:highlight w:val="none"/>
                <w:lang w:val="en-US" w:eastAsia="zh-CN"/>
              </w:rPr>
              <w:t>人</w:t>
            </w:r>
            <w:r>
              <w:rPr>
                <w:rFonts w:hint="eastAsia" w:ascii="仿宋" w:hAnsi="仿宋" w:eastAsia="仿宋" w:cs="仿宋"/>
                <w:strike w:val="0"/>
                <w:dstrike w:val="0"/>
                <w:color w:val="000000"/>
                <w:kern w:val="0"/>
                <w:sz w:val="20"/>
                <w:highlight w:val="none"/>
                <w:lang w:val="en-US" w:eastAsia="zh-CN"/>
              </w:rPr>
              <w:t>工智能或智能语音</w:t>
            </w:r>
            <w:r>
              <w:rPr>
                <w:rFonts w:hint="eastAsia" w:ascii="仿宋" w:hAnsi="仿宋" w:eastAsia="仿宋" w:cs="仿宋"/>
                <w:color w:val="000000"/>
                <w:kern w:val="0"/>
                <w:sz w:val="20"/>
                <w:highlight w:val="none"/>
              </w:rPr>
              <w:t>相关发明专利证书/软件产品著作权证书</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rPr>
              <w:t>软著或专利名称中需包含“人工智能”或"智能语音"或“</w:t>
            </w:r>
            <w:r>
              <w:rPr>
                <w:rFonts w:hint="eastAsia" w:ascii="仿宋" w:hAnsi="仿宋" w:eastAsia="仿宋" w:cs="仿宋"/>
                <w:color w:val="000000"/>
                <w:kern w:val="0"/>
                <w:sz w:val="20"/>
                <w:highlight w:val="none"/>
                <w:lang w:val="en-US" w:eastAsia="zh-CN"/>
              </w:rPr>
              <w:t>AI</w:t>
            </w:r>
            <w:r>
              <w:rPr>
                <w:rFonts w:hint="eastAsia" w:ascii="仿宋" w:hAnsi="仿宋" w:eastAsia="仿宋" w:cs="仿宋"/>
                <w:color w:val="000000"/>
                <w:kern w:val="0"/>
                <w:sz w:val="20"/>
                <w:highlight w:val="none"/>
              </w:rPr>
              <w:t>”关键词</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rPr>
              <w:t>，按数量进行评审，每提供1</w:t>
            </w:r>
            <w:r>
              <w:rPr>
                <w:rFonts w:hint="eastAsia" w:ascii="仿宋" w:hAnsi="仿宋" w:eastAsia="仿宋" w:cs="仿宋"/>
                <w:color w:val="000000"/>
                <w:kern w:val="0"/>
                <w:sz w:val="20"/>
                <w:highlight w:val="none"/>
                <w:lang w:val="en-US" w:eastAsia="zh-CN"/>
              </w:rPr>
              <w:t>个</w:t>
            </w:r>
            <w:r>
              <w:rPr>
                <w:rFonts w:hint="eastAsia" w:ascii="仿宋" w:hAnsi="仿宋" w:eastAsia="仿宋" w:cs="仿宋"/>
                <w:color w:val="000000"/>
                <w:kern w:val="0"/>
                <w:sz w:val="20"/>
                <w:highlight w:val="none"/>
              </w:rPr>
              <w:t>专利/软著得</w:t>
            </w:r>
            <w:r>
              <w:rPr>
                <w:rFonts w:hint="eastAsia" w:ascii="仿宋" w:hAnsi="仿宋" w:eastAsia="仿宋" w:cs="仿宋"/>
                <w:color w:val="000000"/>
                <w:kern w:val="0"/>
                <w:sz w:val="20"/>
                <w:highlight w:val="none"/>
                <w:lang w:val="en-US" w:eastAsia="zh-CN"/>
              </w:rPr>
              <w:t>2.5</w:t>
            </w:r>
            <w:r>
              <w:rPr>
                <w:rFonts w:hint="eastAsia" w:ascii="仿宋" w:hAnsi="仿宋" w:eastAsia="仿宋" w:cs="仿宋"/>
                <w:color w:val="000000"/>
                <w:kern w:val="0"/>
                <w:sz w:val="20"/>
                <w:highlight w:val="none"/>
              </w:rPr>
              <w:t>分，满分</w:t>
            </w:r>
            <w:r>
              <w:rPr>
                <w:rFonts w:hint="eastAsia" w:ascii="仿宋" w:hAnsi="仿宋" w:eastAsia="仿宋" w:cs="仿宋"/>
                <w:color w:val="000000"/>
                <w:kern w:val="0"/>
                <w:sz w:val="20"/>
                <w:highlight w:val="none"/>
                <w:lang w:val="en-US" w:eastAsia="zh-CN"/>
              </w:rPr>
              <w:t>10</w:t>
            </w:r>
            <w:r>
              <w:rPr>
                <w:rFonts w:hint="eastAsia" w:ascii="仿宋" w:hAnsi="仿宋" w:eastAsia="仿宋" w:cs="仿宋"/>
                <w:color w:val="000000"/>
                <w:kern w:val="0"/>
                <w:sz w:val="20"/>
                <w:highlight w:val="none"/>
              </w:rPr>
              <w:t>分。</w:t>
            </w:r>
          </w:p>
        </w:tc>
        <w:tc>
          <w:tcPr>
            <w:tcW w:w="2422" w:type="dxa"/>
            <w:noWrap/>
            <w:vAlign w:val="center"/>
          </w:tcPr>
          <w:p w14:paraId="2C81D781">
            <w:pPr>
              <w:widowControl/>
              <w:jc w:val="left"/>
              <w:rPr>
                <w:rFonts w:hint="eastAsia" w:ascii="仿宋" w:hAnsi="仿宋" w:eastAsia="仿宋" w:cs="仿宋"/>
                <w:kern w:val="0"/>
                <w:sz w:val="20"/>
                <w:highlight w:val="none"/>
              </w:rPr>
            </w:pPr>
            <w:r>
              <w:rPr>
                <w:rFonts w:hint="eastAsia" w:ascii="仿宋" w:hAnsi="仿宋" w:eastAsia="仿宋" w:cs="仿宋"/>
                <w:kern w:val="0"/>
                <w:sz w:val="20"/>
                <w:highlight w:val="none"/>
                <w:lang w:val="en-US" w:eastAsia="zh-CN"/>
              </w:rPr>
              <w:t>1、</w:t>
            </w:r>
            <w:r>
              <w:rPr>
                <w:rFonts w:hint="eastAsia" w:ascii="仿宋" w:hAnsi="仿宋" w:eastAsia="仿宋" w:cs="仿宋"/>
                <w:kern w:val="0"/>
                <w:sz w:val="20"/>
                <w:highlight w:val="none"/>
              </w:rPr>
              <w:t>需提供软件著作权证书或专利证书扫描件，软著和专利应归属应答人所有，证书主体名称应与应答人一致。专利类型应为“发明专利”；“实用新型专利”和“外观设计专利”不予认可。</w:t>
            </w:r>
          </w:p>
          <w:p w14:paraId="7F7E7767">
            <w:pPr>
              <w:rPr>
                <w:rFonts w:hint="eastAsia" w:ascii="仿宋" w:hAnsi="仿宋" w:eastAsia="仿宋" w:cs="仿宋"/>
                <w:kern w:val="0"/>
                <w:sz w:val="20"/>
                <w:highlight w:val="none"/>
              </w:rPr>
            </w:pPr>
            <w:r>
              <w:rPr>
                <w:rFonts w:hint="eastAsia" w:ascii="仿宋" w:hAnsi="仿宋" w:eastAsia="仿宋" w:cs="仿宋"/>
                <w:kern w:val="0"/>
                <w:sz w:val="20"/>
                <w:highlight w:val="none"/>
                <w:lang w:val="en-US" w:eastAsia="zh-CN"/>
              </w:rPr>
              <w:t>2、</w:t>
            </w:r>
            <w:r>
              <w:rPr>
                <w:rFonts w:hint="eastAsia" w:ascii="仿宋" w:hAnsi="仿宋" w:eastAsia="仿宋" w:cs="仿宋"/>
                <w:kern w:val="0"/>
                <w:sz w:val="20"/>
                <w:highlight w:val="none"/>
              </w:rPr>
              <w:t>需提供软著或专利查询截图，截图须包括查询网页地址链接或单独提供链接；原件备查。</w:t>
            </w:r>
          </w:p>
        </w:tc>
      </w:tr>
      <w:tr w14:paraId="5D62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678" w:type="dxa"/>
            <w:noWrap/>
            <w:vAlign w:val="center"/>
          </w:tcPr>
          <w:p w14:paraId="2AFF57F3">
            <w:pPr>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经验业绩</w:t>
            </w:r>
          </w:p>
        </w:tc>
        <w:tc>
          <w:tcPr>
            <w:tcW w:w="1032" w:type="dxa"/>
            <w:noWrap/>
            <w:vAlign w:val="center"/>
          </w:tcPr>
          <w:p w14:paraId="0C092B9F">
            <w:pPr>
              <w:widowControl/>
              <w:jc w:val="center"/>
              <w:rPr>
                <w:rFonts w:hint="eastAsia" w:ascii="仿宋" w:hAnsi="仿宋" w:eastAsia="仿宋" w:cs="仿宋"/>
                <w:b/>
                <w:bCs/>
                <w:kern w:val="0"/>
                <w:sz w:val="20"/>
              </w:rPr>
            </w:pPr>
            <w:r>
              <w:rPr>
                <w:rFonts w:hint="eastAsia" w:ascii="仿宋" w:hAnsi="仿宋" w:eastAsia="仿宋" w:cs="仿宋"/>
                <w:b/>
                <w:bCs/>
                <w:color w:val="000000"/>
                <w:kern w:val="0"/>
                <w:sz w:val="20"/>
                <w:lang w:bidi="ar"/>
              </w:rPr>
              <w:t>经验业绩</w:t>
            </w:r>
          </w:p>
        </w:tc>
        <w:tc>
          <w:tcPr>
            <w:tcW w:w="555" w:type="dxa"/>
            <w:noWrap/>
            <w:vAlign w:val="center"/>
          </w:tcPr>
          <w:p w14:paraId="24217860">
            <w:pPr>
              <w:widowControl/>
              <w:jc w:val="center"/>
              <w:rPr>
                <w:rFonts w:hint="default" w:ascii="仿宋" w:hAnsi="仿宋" w:eastAsia="仿宋" w:cs="仿宋"/>
                <w:sz w:val="20"/>
                <w:highlight w:val="none"/>
                <w:lang w:val="en-US" w:eastAsia="zh-CN"/>
              </w:rPr>
            </w:pPr>
            <w:r>
              <w:rPr>
                <w:rFonts w:hint="eastAsia" w:ascii="仿宋" w:hAnsi="仿宋" w:eastAsia="仿宋" w:cs="仿宋"/>
                <w:sz w:val="20"/>
                <w:highlight w:val="none"/>
                <w:lang w:val="en-US" w:eastAsia="zh-CN"/>
              </w:rPr>
              <w:t>20</w:t>
            </w:r>
          </w:p>
        </w:tc>
        <w:tc>
          <w:tcPr>
            <w:tcW w:w="5880" w:type="dxa"/>
            <w:vAlign w:val="center"/>
          </w:tcPr>
          <w:p w14:paraId="3A681749">
            <w:pPr>
              <w:widowControl/>
              <w:jc w:val="left"/>
              <w:rPr>
                <w:rFonts w:hint="eastAsia" w:ascii="仿宋" w:hAnsi="仿宋" w:eastAsia="仿宋" w:cs="仿宋"/>
                <w:kern w:val="0"/>
                <w:sz w:val="20"/>
                <w:highlight w:val="none"/>
                <w:lang w:bidi="ar"/>
              </w:rPr>
            </w:pPr>
            <w:r>
              <w:rPr>
                <w:rFonts w:hint="eastAsia" w:ascii="仿宋" w:hAnsi="仿宋" w:eastAsia="仿宋" w:cs="仿宋"/>
                <w:kern w:val="0"/>
                <w:sz w:val="20"/>
                <w:highlight w:val="none"/>
                <w:lang w:val="en-US" w:eastAsia="zh-CN" w:bidi="ar"/>
              </w:rPr>
              <w:t>1、</w:t>
            </w:r>
            <w:r>
              <w:rPr>
                <w:rFonts w:hint="eastAsia" w:ascii="仿宋" w:hAnsi="仿宋" w:eastAsia="仿宋" w:cs="仿宋"/>
                <w:kern w:val="0"/>
                <w:sz w:val="20"/>
                <w:highlight w:val="none"/>
                <w:lang w:bidi="ar"/>
              </w:rPr>
              <w:t>202</w:t>
            </w:r>
            <w:r>
              <w:rPr>
                <w:rFonts w:hint="eastAsia" w:ascii="仿宋" w:hAnsi="仿宋" w:eastAsia="仿宋" w:cs="仿宋"/>
                <w:kern w:val="0"/>
                <w:sz w:val="20"/>
                <w:highlight w:val="none"/>
                <w:lang w:val="en-US" w:eastAsia="zh-CN" w:bidi="ar"/>
              </w:rPr>
              <w:t>3</w:t>
            </w:r>
            <w:r>
              <w:rPr>
                <w:rFonts w:hint="eastAsia" w:ascii="仿宋" w:hAnsi="仿宋" w:eastAsia="仿宋" w:cs="仿宋"/>
                <w:kern w:val="0"/>
                <w:sz w:val="20"/>
                <w:highlight w:val="none"/>
                <w:lang w:bidi="ar"/>
              </w:rPr>
              <w:t>年1月1日（以合同签订时间为准）至应答截止当日，具备软件开发</w:t>
            </w:r>
            <w:r>
              <w:rPr>
                <w:rFonts w:hint="eastAsia" w:ascii="仿宋" w:hAnsi="仿宋" w:eastAsia="仿宋" w:cs="仿宋"/>
                <w:kern w:val="0"/>
                <w:sz w:val="20"/>
                <w:highlight w:val="none"/>
                <w:lang w:val="en-US" w:eastAsia="zh-CN" w:bidi="ar"/>
              </w:rPr>
              <w:t>或技术服务支撑</w:t>
            </w:r>
            <w:r>
              <w:rPr>
                <w:rFonts w:hint="eastAsia" w:ascii="仿宋" w:hAnsi="仿宋" w:eastAsia="仿宋" w:cs="仿宋"/>
                <w:kern w:val="0"/>
                <w:sz w:val="20"/>
                <w:highlight w:val="none"/>
                <w:lang w:bidi="ar"/>
              </w:rPr>
              <w:t>相关项目合同案例经验，并同时提供相对应的发票至少【一张】，每提供1例得3分，最高得</w:t>
            </w:r>
            <w:r>
              <w:rPr>
                <w:rFonts w:hint="eastAsia" w:ascii="仿宋" w:hAnsi="仿宋" w:eastAsia="仿宋" w:cs="仿宋"/>
                <w:kern w:val="0"/>
                <w:sz w:val="20"/>
                <w:highlight w:val="none"/>
                <w:lang w:val="en-US" w:eastAsia="zh-CN" w:bidi="ar"/>
              </w:rPr>
              <w:t>12</w:t>
            </w:r>
            <w:r>
              <w:rPr>
                <w:rFonts w:hint="eastAsia" w:ascii="仿宋" w:hAnsi="仿宋" w:eastAsia="仿宋" w:cs="仿宋"/>
                <w:kern w:val="0"/>
                <w:sz w:val="20"/>
                <w:highlight w:val="none"/>
                <w:lang w:bidi="ar"/>
              </w:rPr>
              <w:t>分。</w:t>
            </w:r>
          </w:p>
          <w:p w14:paraId="35D4B913">
            <w:pPr>
              <w:widowControl/>
              <w:jc w:val="left"/>
              <w:rPr>
                <w:rFonts w:hint="eastAsia" w:ascii="仿宋" w:hAnsi="仿宋" w:eastAsia="仿宋" w:cs="仿宋"/>
                <w:kern w:val="0"/>
                <w:sz w:val="20"/>
                <w:highlight w:val="none"/>
                <w:lang w:val="en-US" w:eastAsia="zh-CN" w:bidi="ar"/>
              </w:rPr>
            </w:pPr>
            <w:r>
              <w:rPr>
                <w:rFonts w:hint="eastAsia" w:ascii="仿宋" w:hAnsi="仿宋" w:eastAsia="仿宋" w:cs="仿宋"/>
                <w:kern w:val="0"/>
                <w:sz w:val="20"/>
                <w:highlight w:val="none"/>
                <w:lang w:val="en-US" w:eastAsia="zh-CN" w:bidi="ar"/>
              </w:rPr>
              <w:t>2、上述有效合同中，单个合同金额（含税）不少于100万的 ，每一例合同得2分，最高8分。</w:t>
            </w:r>
          </w:p>
        </w:tc>
        <w:tc>
          <w:tcPr>
            <w:tcW w:w="2422" w:type="dxa"/>
            <w:noWrap/>
            <w:vAlign w:val="center"/>
          </w:tcPr>
          <w:p w14:paraId="1460D20A">
            <w:pPr>
              <w:rPr>
                <w:rFonts w:hint="eastAsia" w:ascii="仿宋" w:hAnsi="仿宋" w:eastAsia="仿宋" w:cs="仿宋"/>
                <w:color w:val="C00000"/>
                <w:kern w:val="0"/>
                <w:sz w:val="20"/>
                <w:highlight w:val="none"/>
              </w:rPr>
            </w:pPr>
            <w:r>
              <w:rPr>
                <w:rFonts w:hint="eastAsia" w:ascii="仿宋" w:hAnsi="仿宋" w:eastAsia="仿宋" w:cs="仿宋"/>
                <w:kern w:val="0"/>
                <w:sz w:val="20"/>
                <w:highlight w:val="none"/>
              </w:rPr>
              <w:t>1.合同需提供与应答人签订的合同关键页扫描件【包括但不限于合同首页、金额页（如合同未明确具体金额，另需提供结算发票扫描件）、体现合同主要内容的页、合同生效页、签字盖章页】；</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2.提供与该合同相对应的</w:t>
            </w:r>
            <w:r>
              <w:rPr>
                <w:rFonts w:hint="eastAsia" w:ascii="仿宋" w:hAnsi="仿宋" w:eastAsia="仿宋" w:cs="仿宋"/>
                <w:kern w:val="0"/>
                <w:sz w:val="20"/>
                <w:highlight w:val="none"/>
                <w:lang w:val="en-US" w:eastAsia="zh-CN"/>
              </w:rPr>
              <w:t>至少</w:t>
            </w:r>
            <w:r>
              <w:rPr>
                <w:rFonts w:hint="eastAsia" w:ascii="仿宋" w:hAnsi="仿宋" w:eastAsia="仿宋" w:cs="仿宋"/>
                <w:kern w:val="0"/>
                <w:sz w:val="20"/>
                <w:highlight w:val="none"/>
              </w:rPr>
              <w:t>【一】张发票电子文档及发票查询结果截图，发票认定的基本要素包括：1）购买方和销售方名称须与有效合同签章的双方单位名称（含分支机构）一致；2）发票开具时间须在 20【23】年【1】月【1】日至【公告发布之日】之间，且不得早于合同生效日期；3）该发票在国家或地方税务局官网的查询结果截图，截图必须包含相关查询网页的地址栏信息。</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3.合同未明确具体金额的，以认定的发票累计含税金额为准；</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4.以合同签订时间为准。若双方签订日期不一致，则以签订时间后者为准，体现单方时间的以该时间为准。如合同另行约定合同生效之日，则以合同生效之日为准；</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5.合同签字盖章页须具有双方盖章或签字，但如合同约定合同应当签字并盖章生效的，则合同应当签字并盖章，否则该合同不予认定。</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6.若合同扫描件金额模糊不清或合同签订日期、签字盖章无法辨识的，该合同均不予认定；发票不予认定或未提供发票的对应合同不予认定。</w:t>
            </w:r>
          </w:p>
        </w:tc>
      </w:tr>
      <w:tr w14:paraId="5793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710" w:type="dxa"/>
            <w:gridSpan w:val="2"/>
            <w:noWrap/>
            <w:vAlign w:val="center"/>
          </w:tcPr>
          <w:p w14:paraId="274C602E">
            <w:pPr>
              <w:jc w:val="center"/>
              <w:rPr>
                <w:rFonts w:hint="eastAsia" w:ascii="仿宋" w:hAnsi="仿宋" w:eastAsia="仿宋" w:cs="仿宋"/>
                <w:b/>
                <w:bCs/>
                <w:sz w:val="20"/>
              </w:rPr>
            </w:pPr>
            <w:r>
              <w:rPr>
                <w:rFonts w:hint="eastAsia" w:ascii="仿宋" w:hAnsi="仿宋" w:eastAsia="仿宋" w:cs="仿宋"/>
                <w:b/>
                <w:bCs/>
                <w:sz w:val="20"/>
              </w:rPr>
              <w:t>合计</w:t>
            </w:r>
          </w:p>
        </w:tc>
        <w:tc>
          <w:tcPr>
            <w:tcW w:w="555" w:type="dxa"/>
            <w:noWrap/>
            <w:vAlign w:val="center"/>
          </w:tcPr>
          <w:p w14:paraId="19D6C9A6">
            <w:pPr>
              <w:jc w:val="center"/>
              <w:rPr>
                <w:rFonts w:hint="eastAsia" w:ascii="仿宋" w:hAnsi="仿宋" w:eastAsia="仿宋" w:cs="仿宋"/>
                <w:b/>
                <w:bCs/>
                <w:sz w:val="20"/>
              </w:rPr>
            </w:pPr>
            <w:r>
              <w:rPr>
                <w:rFonts w:hint="eastAsia" w:ascii="仿宋" w:hAnsi="仿宋" w:eastAsia="仿宋" w:cs="仿宋"/>
                <w:b/>
                <w:bCs/>
                <w:sz w:val="20"/>
              </w:rPr>
              <w:t>100</w:t>
            </w:r>
          </w:p>
        </w:tc>
        <w:tc>
          <w:tcPr>
            <w:tcW w:w="5880" w:type="dxa"/>
            <w:noWrap/>
            <w:vAlign w:val="center"/>
          </w:tcPr>
          <w:p w14:paraId="24467867">
            <w:pPr>
              <w:jc w:val="center"/>
              <w:rPr>
                <w:rFonts w:hint="eastAsia" w:ascii="仿宋" w:hAnsi="仿宋" w:eastAsia="仿宋" w:cs="仿宋"/>
                <w:b/>
                <w:bCs/>
                <w:sz w:val="20"/>
              </w:rPr>
            </w:pPr>
          </w:p>
        </w:tc>
        <w:tc>
          <w:tcPr>
            <w:tcW w:w="2422" w:type="dxa"/>
            <w:noWrap/>
            <w:vAlign w:val="center"/>
          </w:tcPr>
          <w:p w14:paraId="3F3B054A">
            <w:pPr>
              <w:jc w:val="center"/>
              <w:rPr>
                <w:rFonts w:hint="eastAsia" w:ascii="仿宋" w:hAnsi="仿宋" w:eastAsia="仿宋" w:cs="仿宋"/>
                <w:b/>
                <w:bCs/>
                <w:sz w:val="20"/>
              </w:rPr>
            </w:pPr>
          </w:p>
        </w:tc>
      </w:tr>
    </w:tbl>
    <w:p w14:paraId="4C9E18D6">
      <w:pPr>
        <w:spacing w:line="360" w:lineRule="auto"/>
        <w:rPr>
          <w:rFonts w:hint="eastAsia" w:ascii="仿宋" w:hAnsi="仿宋" w:eastAsia="仿宋"/>
          <w:sz w:val="32"/>
          <w:szCs w:val="32"/>
        </w:rPr>
      </w:pPr>
    </w:p>
    <w:sectPr>
      <w:footerReference r:id="rId3" w:type="default"/>
      <w:pgSz w:w="11906" w:h="16838"/>
      <w:pgMar w:top="1134" w:right="1706" w:bottom="113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体">
    <w:altName w:val="仿宋"/>
    <w:panose1 w:val="00000000000000000000"/>
    <w:charset w:val="86"/>
    <w:family w:val="roma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948B7">
    <w:pPr>
      <w:pStyle w:val="1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657AC6A6">
    <w:pPr>
      <w:pStyle w:val="1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432"/>
        </w:tabs>
        <w:ind w:left="432" w:hanging="432"/>
      </w:pPr>
      <w:rPr>
        <w:rFonts w:hint="eastAsia"/>
      </w:rPr>
    </w:lvl>
    <w:lvl w:ilvl="1" w:tentative="0">
      <w:start w:val="1"/>
      <w:numFmt w:val="decimal"/>
      <w:pStyle w:val="6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053208E"/>
    <w:multiLevelType w:val="multilevel"/>
    <w:tmpl w:val="0053208E"/>
    <w:lvl w:ilvl="0" w:tentative="0">
      <w:start w:val="1"/>
      <w:numFmt w:val="decimal"/>
      <w:pStyle w:val="2"/>
      <w:suff w:val="nothing"/>
      <w:lvlText w:val="%1、"/>
      <w:lvlJc w:val="left"/>
      <w:pPr>
        <w:ind w:left="0" w:firstLine="0"/>
      </w:pPr>
      <w:rPr>
        <w:rFonts w:hint="default" w:ascii="Times New Roman" w:hAnsi="Times New Roman" w:eastAsia="黑体"/>
        <w:b w:val="0"/>
        <w:i w:val="0"/>
        <w:sz w:val="28"/>
      </w:rPr>
    </w:lvl>
    <w:lvl w:ilvl="1" w:tentative="0">
      <w:start w:val="1"/>
      <w:numFmt w:val="decimal"/>
      <w:pStyle w:val="3"/>
      <w:suff w:val="nothing"/>
      <w:lvlText w:val="%1.%2"/>
      <w:lvlJc w:val="left"/>
      <w:pPr>
        <w:ind w:left="0" w:firstLine="0"/>
      </w:pPr>
      <w:rPr>
        <w:rFonts w:hint="default" w:ascii="Times New Roman" w:hAnsi="Times New Roman" w:eastAsia="黑体"/>
        <w:b w:val="0"/>
        <w:i w:val="0"/>
        <w:sz w:val="24"/>
      </w:rPr>
    </w:lvl>
    <w:lvl w:ilvl="2" w:tentative="0">
      <w:start w:val="1"/>
      <w:numFmt w:val="decimal"/>
      <w:pStyle w:val="4"/>
      <w:suff w:val="nothing"/>
      <w:lvlText w:val="%1.%2.%3"/>
      <w:lvlJc w:val="left"/>
      <w:pPr>
        <w:ind w:left="-49" w:firstLine="289"/>
      </w:pPr>
      <w:rPr>
        <w:rFonts w:hint="default" w:ascii="Times New Roman" w:hAnsi="Times New Roman" w:eastAsia="黑体"/>
        <w:sz w:val="24"/>
      </w:rPr>
    </w:lvl>
    <w:lvl w:ilvl="3" w:tentative="0">
      <w:start w:val="1"/>
      <w:numFmt w:val="decimal"/>
      <w:pStyle w:val="5"/>
      <w:suff w:val="nothing"/>
      <w:lvlText w:val="%1.%2.%3.%4"/>
      <w:lvlJc w:val="left"/>
      <w:pPr>
        <w:ind w:left="0" w:firstLine="289"/>
      </w:pPr>
      <w:rPr>
        <w:rFonts w:hint="default" w:ascii="Times New Roman" w:hAnsi="Times New Roman" w:eastAsia="黑体"/>
        <w:sz w:val="24"/>
      </w:rPr>
    </w:lvl>
    <w:lvl w:ilvl="4" w:tentative="0">
      <w:start w:val="1"/>
      <w:numFmt w:val="decimal"/>
      <w:lvlText w:val="%1.%2.%3.%4.%5"/>
      <w:lvlJc w:val="left"/>
      <w:pPr>
        <w:tabs>
          <w:tab w:val="left" w:pos="3261"/>
        </w:tabs>
        <w:ind w:left="2671" w:hanging="850"/>
      </w:pPr>
      <w:rPr>
        <w:rFonts w:hint="eastAsia"/>
      </w:rPr>
    </w:lvl>
    <w:lvl w:ilvl="5" w:tentative="0">
      <w:start w:val="1"/>
      <w:numFmt w:val="decimal"/>
      <w:lvlText w:val="%1.%2.%3.%4.%5.%6"/>
      <w:lvlJc w:val="left"/>
      <w:pPr>
        <w:tabs>
          <w:tab w:val="left" w:pos="4046"/>
        </w:tabs>
        <w:ind w:left="3380" w:hanging="1134"/>
      </w:pPr>
      <w:rPr>
        <w:rFonts w:hint="eastAsia"/>
      </w:rPr>
    </w:lvl>
    <w:lvl w:ilvl="6" w:tentative="0">
      <w:start w:val="1"/>
      <w:numFmt w:val="decimal"/>
      <w:lvlText w:val="%1.%2.%3.%4.%5.%6.%7"/>
      <w:lvlJc w:val="left"/>
      <w:pPr>
        <w:tabs>
          <w:tab w:val="left" w:pos="4471"/>
        </w:tabs>
        <w:ind w:left="3947" w:hanging="1276"/>
      </w:pPr>
      <w:rPr>
        <w:rFonts w:hint="eastAsia"/>
      </w:rPr>
    </w:lvl>
    <w:lvl w:ilvl="7" w:tentative="0">
      <w:start w:val="1"/>
      <w:numFmt w:val="decimal"/>
      <w:lvlText w:val="%1.%2.%3.%4.%5.%6.%7.%8"/>
      <w:lvlJc w:val="left"/>
      <w:pPr>
        <w:tabs>
          <w:tab w:val="left" w:pos="5256"/>
        </w:tabs>
        <w:ind w:left="4514" w:hanging="1418"/>
      </w:pPr>
      <w:rPr>
        <w:rFonts w:hint="eastAsia"/>
      </w:rPr>
    </w:lvl>
    <w:lvl w:ilvl="8" w:tentative="0">
      <w:start w:val="1"/>
      <w:numFmt w:val="decimal"/>
      <w:lvlText w:val="%1.%2.%3.%4.%5.%6.%7.%8.%9"/>
      <w:lvlJc w:val="left"/>
      <w:pPr>
        <w:tabs>
          <w:tab w:val="left" w:pos="6042"/>
        </w:tabs>
        <w:ind w:left="522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A89"/>
    <w:rsid w:val="0000438C"/>
    <w:rsid w:val="00047500"/>
    <w:rsid w:val="00054B96"/>
    <w:rsid w:val="00066557"/>
    <w:rsid w:val="000F17C2"/>
    <w:rsid w:val="00164CB5"/>
    <w:rsid w:val="0018255E"/>
    <w:rsid w:val="001D7990"/>
    <w:rsid w:val="00222011"/>
    <w:rsid w:val="0022350D"/>
    <w:rsid w:val="002B2CD0"/>
    <w:rsid w:val="002F7527"/>
    <w:rsid w:val="00315DC4"/>
    <w:rsid w:val="003200F2"/>
    <w:rsid w:val="00321A89"/>
    <w:rsid w:val="00333BFC"/>
    <w:rsid w:val="0040716D"/>
    <w:rsid w:val="004311ED"/>
    <w:rsid w:val="004811E4"/>
    <w:rsid w:val="004931EF"/>
    <w:rsid w:val="004B42C0"/>
    <w:rsid w:val="004D60FE"/>
    <w:rsid w:val="004E398D"/>
    <w:rsid w:val="004E3E5B"/>
    <w:rsid w:val="00521F1A"/>
    <w:rsid w:val="00527AF4"/>
    <w:rsid w:val="005713D9"/>
    <w:rsid w:val="005A0687"/>
    <w:rsid w:val="005A739E"/>
    <w:rsid w:val="005C036D"/>
    <w:rsid w:val="005D0DC4"/>
    <w:rsid w:val="00685503"/>
    <w:rsid w:val="00694F7D"/>
    <w:rsid w:val="006D0575"/>
    <w:rsid w:val="006E3B1E"/>
    <w:rsid w:val="006F4F79"/>
    <w:rsid w:val="00713762"/>
    <w:rsid w:val="0075510A"/>
    <w:rsid w:val="00770FE2"/>
    <w:rsid w:val="0079487F"/>
    <w:rsid w:val="007D1B30"/>
    <w:rsid w:val="007E5959"/>
    <w:rsid w:val="00805A4F"/>
    <w:rsid w:val="008570A7"/>
    <w:rsid w:val="00867E7D"/>
    <w:rsid w:val="008800CB"/>
    <w:rsid w:val="00882C4A"/>
    <w:rsid w:val="00892262"/>
    <w:rsid w:val="008C16C2"/>
    <w:rsid w:val="008D1F07"/>
    <w:rsid w:val="00916F7E"/>
    <w:rsid w:val="00942A2A"/>
    <w:rsid w:val="00967FC4"/>
    <w:rsid w:val="009C2B2C"/>
    <w:rsid w:val="009E2375"/>
    <w:rsid w:val="00A45135"/>
    <w:rsid w:val="00A550C1"/>
    <w:rsid w:val="00A85E89"/>
    <w:rsid w:val="00B02E2D"/>
    <w:rsid w:val="00B210F9"/>
    <w:rsid w:val="00B848C5"/>
    <w:rsid w:val="00C0434B"/>
    <w:rsid w:val="00C62032"/>
    <w:rsid w:val="00CD191C"/>
    <w:rsid w:val="00CD2EA2"/>
    <w:rsid w:val="00D57DDF"/>
    <w:rsid w:val="00D83B3B"/>
    <w:rsid w:val="00DB6A32"/>
    <w:rsid w:val="00DD3109"/>
    <w:rsid w:val="00E04999"/>
    <w:rsid w:val="00E21CBD"/>
    <w:rsid w:val="00EB4186"/>
    <w:rsid w:val="00EF1B8B"/>
    <w:rsid w:val="00F166E6"/>
    <w:rsid w:val="00F75ECF"/>
    <w:rsid w:val="00FA42D3"/>
    <w:rsid w:val="00FB77CD"/>
    <w:rsid w:val="00FD0025"/>
    <w:rsid w:val="00FE3949"/>
    <w:rsid w:val="01050C3C"/>
    <w:rsid w:val="021148A8"/>
    <w:rsid w:val="023F3714"/>
    <w:rsid w:val="03433F84"/>
    <w:rsid w:val="03991DF6"/>
    <w:rsid w:val="03BB0C98"/>
    <w:rsid w:val="03BB642D"/>
    <w:rsid w:val="03CA1FAF"/>
    <w:rsid w:val="040816EE"/>
    <w:rsid w:val="04D91922"/>
    <w:rsid w:val="04EB042F"/>
    <w:rsid w:val="050634BB"/>
    <w:rsid w:val="055B41EB"/>
    <w:rsid w:val="055F4BD0"/>
    <w:rsid w:val="066F433A"/>
    <w:rsid w:val="070B145B"/>
    <w:rsid w:val="07153E89"/>
    <w:rsid w:val="072705C8"/>
    <w:rsid w:val="07577FFE"/>
    <w:rsid w:val="075C73C2"/>
    <w:rsid w:val="07660F50"/>
    <w:rsid w:val="07AB1CFC"/>
    <w:rsid w:val="083D71F3"/>
    <w:rsid w:val="087A52B2"/>
    <w:rsid w:val="08843074"/>
    <w:rsid w:val="08CD3E70"/>
    <w:rsid w:val="08E83D84"/>
    <w:rsid w:val="08FA6E92"/>
    <w:rsid w:val="090369F3"/>
    <w:rsid w:val="091D7025"/>
    <w:rsid w:val="092640C2"/>
    <w:rsid w:val="092E1232"/>
    <w:rsid w:val="098F195C"/>
    <w:rsid w:val="099D69AE"/>
    <w:rsid w:val="099F5C8C"/>
    <w:rsid w:val="09F4422A"/>
    <w:rsid w:val="0A02144C"/>
    <w:rsid w:val="0B41524D"/>
    <w:rsid w:val="0B5A4560"/>
    <w:rsid w:val="0B923CFA"/>
    <w:rsid w:val="0BB4198C"/>
    <w:rsid w:val="0BE46B89"/>
    <w:rsid w:val="0CD2303E"/>
    <w:rsid w:val="0CFF5294"/>
    <w:rsid w:val="0D2766C4"/>
    <w:rsid w:val="0D407D87"/>
    <w:rsid w:val="0D50757B"/>
    <w:rsid w:val="0DB8731C"/>
    <w:rsid w:val="0DE07A19"/>
    <w:rsid w:val="0DF540CC"/>
    <w:rsid w:val="0DFC36AD"/>
    <w:rsid w:val="0E06452B"/>
    <w:rsid w:val="0E49365D"/>
    <w:rsid w:val="0ED91C40"/>
    <w:rsid w:val="0F5D0A30"/>
    <w:rsid w:val="0F721FDA"/>
    <w:rsid w:val="0FA91612"/>
    <w:rsid w:val="0FDF0BB3"/>
    <w:rsid w:val="103C5D95"/>
    <w:rsid w:val="11254CC9"/>
    <w:rsid w:val="11930F13"/>
    <w:rsid w:val="130B7721"/>
    <w:rsid w:val="13580607"/>
    <w:rsid w:val="137D703E"/>
    <w:rsid w:val="13C814B1"/>
    <w:rsid w:val="14301E78"/>
    <w:rsid w:val="146B333A"/>
    <w:rsid w:val="14C33176"/>
    <w:rsid w:val="14ED01F3"/>
    <w:rsid w:val="153D4AC7"/>
    <w:rsid w:val="15E0294D"/>
    <w:rsid w:val="18117E99"/>
    <w:rsid w:val="1840063A"/>
    <w:rsid w:val="18954E2A"/>
    <w:rsid w:val="18C94A68"/>
    <w:rsid w:val="198158BA"/>
    <w:rsid w:val="19C45CAA"/>
    <w:rsid w:val="1A4563DB"/>
    <w:rsid w:val="1A631EC8"/>
    <w:rsid w:val="1A8E1B30"/>
    <w:rsid w:val="1AC64482"/>
    <w:rsid w:val="1B1A58C1"/>
    <w:rsid w:val="1BD6492A"/>
    <w:rsid w:val="1BE91171"/>
    <w:rsid w:val="1C2C7020"/>
    <w:rsid w:val="1C420E24"/>
    <w:rsid w:val="1CBA4E5F"/>
    <w:rsid w:val="1CCC6940"/>
    <w:rsid w:val="1D2B41AF"/>
    <w:rsid w:val="1DA14320"/>
    <w:rsid w:val="1DBDEC5E"/>
    <w:rsid w:val="1DCF66E8"/>
    <w:rsid w:val="1DDE692B"/>
    <w:rsid w:val="1E01695C"/>
    <w:rsid w:val="1EAE09F3"/>
    <w:rsid w:val="1EFF2D74"/>
    <w:rsid w:val="1FA92F69"/>
    <w:rsid w:val="1FDE0E64"/>
    <w:rsid w:val="1FFA7398"/>
    <w:rsid w:val="20745325"/>
    <w:rsid w:val="20C652B0"/>
    <w:rsid w:val="20DF30E6"/>
    <w:rsid w:val="20EF6144"/>
    <w:rsid w:val="20F070A1"/>
    <w:rsid w:val="22F62969"/>
    <w:rsid w:val="23776FD6"/>
    <w:rsid w:val="239F3791"/>
    <w:rsid w:val="23D073EA"/>
    <w:rsid w:val="24DD5B8E"/>
    <w:rsid w:val="24E6449D"/>
    <w:rsid w:val="24F75A1C"/>
    <w:rsid w:val="25313464"/>
    <w:rsid w:val="2587082F"/>
    <w:rsid w:val="259721E1"/>
    <w:rsid w:val="2652435A"/>
    <w:rsid w:val="267F709C"/>
    <w:rsid w:val="26E620ED"/>
    <w:rsid w:val="2714160F"/>
    <w:rsid w:val="277707E1"/>
    <w:rsid w:val="278C4733"/>
    <w:rsid w:val="27B32BD6"/>
    <w:rsid w:val="28472493"/>
    <w:rsid w:val="28FB2748"/>
    <w:rsid w:val="296B7E64"/>
    <w:rsid w:val="29AE5D4B"/>
    <w:rsid w:val="29EB5863"/>
    <w:rsid w:val="2AC670C5"/>
    <w:rsid w:val="2AFB3BAB"/>
    <w:rsid w:val="2B2B3713"/>
    <w:rsid w:val="2B55347B"/>
    <w:rsid w:val="2B920D55"/>
    <w:rsid w:val="2C114742"/>
    <w:rsid w:val="2CDE03EA"/>
    <w:rsid w:val="2D1C2B24"/>
    <w:rsid w:val="2D477EDA"/>
    <w:rsid w:val="2DD1025A"/>
    <w:rsid w:val="2E0C1292"/>
    <w:rsid w:val="2E3B0CA9"/>
    <w:rsid w:val="2E68250F"/>
    <w:rsid w:val="2EDA51AB"/>
    <w:rsid w:val="2EEF4E2C"/>
    <w:rsid w:val="2F4A27CA"/>
    <w:rsid w:val="2F6F2CEB"/>
    <w:rsid w:val="2F776BDF"/>
    <w:rsid w:val="2FAC4ADB"/>
    <w:rsid w:val="2FC324F5"/>
    <w:rsid w:val="2FF67EF8"/>
    <w:rsid w:val="302B0468"/>
    <w:rsid w:val="304B0D10"/>
    <w:rsid w:val="30601681"/>
    <w:rsid w:val="309317F7"/>
    <w:rsid w:val="30B944F1"/>
    <w:rsid w:val="30C916BD"/>
    <w:rsid w:val="3144A1DB"/>
    <w:rsid w:val="3150593A"/>
    <w:rsid w:val="32C01287"/>
    <w:rsid w:val="32D61E6F"/>
    <w:rsid w:val="336254B1"/>
    <w:rsid w:val="33AC25F0"/>
    <w:rsid w:val="33E93B89"/>
    <w:rsid w:val="35170C48"/>
    <w:rsid w:val="363F76E9"/>
    <w:rsid w:val="368C2F70"/>
    <w:rsid w:val="36BE4478"/>
    <w:rsid w:val="372E37CF"/>
    <w:rsid w:val="375BCF23"/>
    <w:rsid w:val="37633FCB"/>
    <w:rsid w:val="384E6D78"/>
    <w:rsid w:val="38547ABE"/>
    <w:rsid w:val="38894E1C"/>
    <w:rsid w:val="389A5B46"/>
    <w:rsid w:val="389C1E13"/>
    <w:rsid w:val="38FD63A7"/>
    <w:rsid w:val="39050DB8"/>
    <w:rsid w:val="393022D9"/>
    <w:rsid w:val="393901BB"/>
    <w:rsid w:val="398F6612"/>
    <w:rsid w:val="39B21119"/>
    <w:rsid w:val="3A5B15D7"/>
    <w:rsid w:val="3A682D03"/>
    <w:rsid w:val="3A775CE5"/>
    <w:rsid w:val="3A7C4588"/>
    <w:rsid w:val="3AC33322"/>
    <w:rsid w:val="3AFB82B8"/>
    <w:rsid w:val="3C2D0CE8"/>
    <w:rsid w:val="3CC80A7A"/>
    <w:rsid w:val="3CEB5F4E"/>
    <w:rsid w:val="3CF3A14A"/>
    <w:rsid w:val="3D6EE216"/>
    <w:rsid w:val="3DB147C3"/>
    <w:rsid w:val="3DBFFE9E"/>
    <w:rsid w:val="3DFA22D6"/>
    <w:rsid w:val="3E88226F"/>
    <w:rsid w:val="3EB66B30"/>
    <w:rsid w:val="3EC417E6"/>
    <w:rsid w:val="3EFC1CAF"/>
    <w:rsid w:val="3FA23C1F"/>
    <w:rsid w:val="3FC656D4"/>
    <w:rsid w:val="3FFB0A1E"/>
    <w:rsid w:val="3FFDA812"/>
    <w:rsid w:val="40750F19"/>
    <w:rsid w:val="40891257"/>
    <w:rsid w:val="409A4CBF"/>
    <w:rsid w:val="41076015"/>
    <w:rsid w:val="418C651A"/>
    <w:rsid w:val="426138DE"/>
    <w:rsid w:val="430B03A5"/>
    <w:rsid w:val="432B3B11"/>
    <w:rsid w:val="433E3844"/>
    <w:rsid w:val="43C71A8C"/>
    <w:rsid w:val="446E1F07"/>
    <w:rsid w:val="44EC47B2"/>
    <w:rsid w:val="44EF1E78"/>
    <w:rsid w:val="454676EB"/>
    <w:rsid w:val="45617CBE"/>
    <w:rsid w:val="456652D4"/>
    <w:rsid w:val="467852BF"/>
    <w:rsid w:val="46B01873"/>
    <w:rsid w:val="47283EBB"/>
    <w:rsid w:val="472D7E58"/>
    <w:rsid w:val="47794E4B"/>
    <w:rsid w:val="478A5E98"/>
    <w:rsid w:val="47FF6A97"/>
    <w:rsid w:val="4890743F"/>
    <w:rsid w:val="491976DE"/>
    <w:rsid w:val="496B4447"/>
    <w:rsid w:val="49960B56"/>
    <w:rsid w:val="49FDD142"/>
    <w:rsid w:val="4A2149D2"/>
    <w:rsid w:val="4A2E6AA3"/>
    <w:rsid w:val="4A3459A1"/>
    <w:rsid w:val="4A4A3A61"/>
    <w:rsid w:val="4A560724"/>
    <w:rsid w:val="4A9A0FD6"/>
    <w:rsid w:val="4B9E1376"/>
    <w:rsid w:val="4BC62629"/>
    <w:rsid w:val="4BEBA7DB"/>
    <w:rsid w:val="4BF83C8E"/>
    <w:rsid w:val="4BF929FE"/>
    <w:rsid w:val="4C7E259C"/>
    <w:rsid w:val="4C9B3AB5"/>
    <w:rsid w:val="4CF90F82"/>
    <w:rsid w:val="4D45024D"/>
    <w:rsid w:val="4E4D7031"/>
    <w:rsid w:val="4E6FE2BE"/>
    <w:rsid w:val="4E992277"/>
    <w:rsid w:val="4EB44C0B"/>
    <w:rsid w:val="4EB96475"/>
    <w:rsid w:val="4EE5726A"/>
    <w:rsid w:val="4EFFFAF5"/>
    <w:rsid w:val="4F4A36BE"/>
    <w:rsid w:val="4F59664B"/>
    <w:rsid w:val="4F625D9C"/>
    <w:rsid w:val="4F826147"/>
    <w:rsid w:val="4FD09304"/>
    <w:rsid w:val="4FF9C0C7"/>
    <w:rsid w:val="5038161B"/>
    <w:rsid w:val="503C7D20"/>
    <w:rsid w:val="50BF628A"/>
    <w:rsid w:val="51256043"/>
    <w:rsid w:val="512D6CA6"/>
    <w:rsid w:val="518E5997"/>
    <w:rsid w:val="51A75608"/>
    <w:rsid w:val="52CB0C33"/>
    <w:rsid w:val="52ED0DE3"/>
    <w:rsid w:val="5311062D"/>
    <w:rsid w:val="53191BD8"/>
    <w:rsid w:val="533EBA0A"/>
    <w:rsid w:val="536C2B3A"/>
    <w:rsid w:val="5397348D"/>
    <w:rsid w:val="548B08B3"/>
    <w:rsid w:val="54F55187"/>
    <w:rsid w:val="54F86535"/>
    <w:rsid w:val="55524CCF"/>
    <w:rsid w:val="55BC52DB"/>
    <w:rsid w:val="55C2758A"/>
    <w:rsid w:val="55E53FF3"/>
    <w:rsid w:val="55E9A4DB"/>
    <w:rsid w:val="56143219"/>
    <w:rsid w:val="562425EC"/>
    <w:rsid w:val="564162D0"/>
    <w:rsid w:val="566E1172"/>
    <w:rsid w:val="56CE635E"/>
    <w:rsid w:val="56DF0E32"/>
    <w:rsid w:val="56FD4815"/>
    <w:rsid w:val="57178AF6"/>
    <w:rsid w:val="574C432A"/>
    <w:rsid w:val="57725959"/>
    <w:rsid w:val="57FEAAA4"/>
    <w:rsid w:val="581117EB"/>
    <w:rsid w:val="582EDB82"/>
    <w:rsid w:val="58A40D2B"/>
    <w:rsid w:val="590F4708"/>
    <w:rsid w:val="59AD307A"/>
    <w:rsid w:val="59C74CE3"/>
    <w:rsid w:val="5A217302"/>
    <w:rsid w:val="5A4A360C"/>
    <w:rsid w:val="5A5A0B0C"/>
    <w:rsid w:val="5A691F78"/>
    <w:rsid w:val="5AA224B3"/>
    <w:rsid w:val="5AAE67B8"/>
    <w:rsid w:val="5ADB1DB8"/>
    <w:rsid w:val="5BBFB6F0"/>
    <w:rsid w:val="5BEF5489"/>
    <w:rsid w:val="5BFDAE5F"/>
    <w:rsid w:val="5CCD1511"/>
    <w:rsid w:val="5CCF4218"/>
    <w:rsid w:val="5CDFA6F5"/>
    <w:rsid w:val="5CE2303B"/>
    <w:rsid w:val="5D302299"/>
    <w:rsid w:val="5DAF5613"/>
    <w:rsid w:val="5E0232A9"/>
    <w:rsid w:val="5E7339E6"/>
    <w:rsid w:val="5ED16751"/>
    <w:rsid w:val="5EFE343C"/>
    <w:rsid w:val="5F0B1686"/>
    <w:rsid w:val="5FCF40CD"/>
    <w:rsid w:val="5FF46743"/>
    <w:rsid w:val="60121E89"/>
    <w:rsid w:val="60430294"/>
    <w:rsid w:val="60CA216B"/>
    <w:rsid w:val="615D57CF"/>
    <w:rsid w:val="616E4FD4"/>
    <w:rsid w:val="617565F6"/>
    <w:rsid w:val="61D46A82"/>
    <w:rsid w:val="61E51C2C"/>
    <w:rsid w:val="62456545"/>
    <w:rsid w:val="627B46FE"/>
    <w:rsid w:val="628D57F7"/>
    <w:rsid w:val="62AC2121"/>
    <w:rsid w:val="62B80AC5"/>
    <w:rsid w:val="62D6719E"/>
    <w:rsid w:val="62EC4C13"/>
    <w:rsid w:val="63666773"/>
    <w:rsid w:val="64283557"/>
    <w:rsid w:val="647E7AED"/>
    <w:rsid w:val="64A36AC6"/>
    <w:rsid w:val="64E16202"/>
    <w:rsid w:val="64EB27AF"/>
    <w:rsid w:val="66417024"/>
    <w:rsid w:val="668A09CB"/>
    <w:rsid w:val="669A52A0"/>
    <w:rsid w:val="669FAAD3"/>
    <w:rsid w:val="66BD6B7E"/>
    <w:rsid w:val="673B3A73"/>
    <w:rsid w:val="6827623E"/>
    <w:rsid w:val="68444BA9"/>
    <w:rsid w:val="6864524C"/>
    <w:rsid w:val="689720E1"/>
    <w:rsid w:val="691C1682"/>
    <w:rsid w:val="693057F4"/>
    <w:rsid w:val="697D4817"/>
    <w:rsid w:val="69846EF1"/>
    <w:rsid w:val="69A86534"/>
    <w:rsid w:val="69ED7AE8"/>
    <w:rsid w:val="69FFBB91"/>
    <w:rsid w:val="6A18009C"/>
    <w:rsid w:val="6A4315BC"/>
    <w:rsid w:val="6A5E5483"/>
    <w:rsid w:val="6A8C42A6"/>
    <w:rsid w:val="6B621F16"/>
    <w:rsid w:val="6B915AF3"/>
    <w:rsid w:val="6BFF048F"/>
    <w:rsid w:val="6C411B2C"/>
    <w:rsid w:val="6C5D448C"/>
    <w:rsid w:val="6C897247"/>
    <w:rsid w:val="6C963430"/>
    <w:rsid w:val="6CC26A8C"/>
    <w:rsid w:val="6D3FA032"/>
    <w:rsid w:val="6E667E5D"/>
    <w:rsid w:val="6EF70BC7"/>
    <w:rsid w:val="6F28515D"/>
    <w:rsid w:val="6F502086"/>
    <w:rsid w:val="6FBFB415"/>
    <w:rsid w:val="6FF2313D"/>
    <w:rsid w:val="704174B9"/>
    <w:rsid w:val="706758D9"/>
    <w:rsid w:val="71DC40A5"/>
    <w:rsid w:val="71EFEC25"/>
    <w:rsid w:val="726F6CC7"/>
    <w:rsid w:val="72F7E8EA"/>
    <w:rsid w:val="72FEEB22"/>
    <w:rsid w:val="72FF7E3E"/>
    <w:rsid w:val="73593BFF"/>
    <w:rsid w:val="735C72C2"/>
    <w:rsid w:val="73601852"/>
    <w:rsid w:val="738B18DE"/>
    <w:rsid w:val="73CDE62B"/>
    <w:rsid w:val="73CFB47C"/>
    <w:rsid w:val="73F70E65"/>
    <w:rsid w:val="73F76F74"/>
    <w:rsid w:val="74626AE3"/>
    <w:rsid w:val="749D4072"/>
    <w:rsid w:val="75BFFE0A"/>
    <w:rsid w:val="75D9228C"/>
    <w:rsid w:val="75E72C2C"/>
    <w:rsid w:val="761375DA"/>
    <w:rsid w:val="761F3D2D"/>
    <w:rsid w:val="76261D92"/>
    <w:rsid w:val="76427D49"/>
    <w:rsid w:val="773D42F6"/>
    <w:rsid w:val="776B0A89"/>
    <w:rsid w:val="776F3A50"/>
    <w:rsid w:val="77B51620"/>
    <w:rsid w:val="77C17223"/>
    <w:rsid w:val="77E73E1A"/>
    <w:rsid w:val="77F66997"/>
    <w:rsid w:val="77FB65B0"/>
    <w:rsid w:val="77FE6E4C"/>
    <w:rsid w:val="781400F4"/>
    <w:rsid w:val="78E52CDF"/>
    <w:rsid w:val="797C2E06"/>
    <w:rsid w:val="79C36276"/>
    <w:rsid w:val="79C70F6E"/>
    <w:rsid w:val="7A4C63E8"/>
    <w:rsid w:val="7AF6CA9A"/>
    <w:rsid w:val="7B3559DB"/>
    <w:rsid w:val="7B3FCB3D"/>
    <w:rsid w:val="7B486307"/>
    <w:rsid w:val="7BA9C428"/>
    <w:rsid w:val="7BAF9E80"/>
    <w:rsid w:val="7BB65EF2"/>
    <w:rsid w:val="7BD65AD0"/>
    <w:rsid w:val="7BF760C0"/>
    <w:rsid w:val="7BFF60D2"/>
    <w:rsid w:val="7C3B7650"/>
    <w:rsid w:val="7C596A1E"/>
    <w:rsid w:val="7C5F3540"/>
    <w:rsid w:val="7CA8633A"/>
    <w:rsid w:val="7CCF4F32"/>
    <w:rsid w:val="7CFBE4EF"/>
    <w:rsid w:val="7CFE3E67"/>
    <w:rsid w:val="7D136216"/>
    <w:rsid w:val="7D1868D9"/>
    <w:rsid w:val="7D470F6C"/>
    <w:rsid w:val="7D532A36"/>
    <w:rsid w:val="7D7B0E94"/>
    <w:rsid w:val="7DB67EA0"/>
    <w:rsid w:val="7DEDC328"/>
    <w:rsid w:val="7DF42489"/>
    <w:rsid w:val="7DF9D3FF"/>
    <w:rsid w:val="7E367E47"/>
    <w:rsid w:val="7E47F651"/>
    <w:rsid w:val="7E723DC7"/>
    <w:rsid w:val="7E9006F1"/>
    <w:rsid w:val="7EDD388F"/>
    <w:rsid w:val="7EEFB99E"/>
    <w:rsid w:val="7EF36CA3"/>
    <w:rsid w:val="7F20732F"/>
    <w:rsid w:val="7F330B56"/>
    <w:rsid w:val="7F5A3CB1"/>
    <w:rsid w:val="7F8F7919"/>
    <w:rsid w:val="7FAFD275"/>
    <w:rsid w:val="7FB56562"/>
    <w:rsid w:val="7FBD985E"/>
    <w:rsid w:val="7FBFCB2A"/>
    <w:rsid w:val="7FE7DCDA"/>
    <w:rsid w:val="7FFB1B4C"/>
    <w:rsid w:val="7FFD4E96"/>
    <w:rsid w:val="7FFDC3B0"/>
    <w:rsid w:val="7FFFA82C"/>
    <w:rsid w:val="8CFABFAF"/>
    <w:rsid w:val="9FB75E01"/>
    <w:rsid w:val="AFB338C7"/>
    <w:rsid w:val="AFEB8672"/>
    <w:rsid w:val="AFFBBC52"/>
    <w:rsid w:val="B76F6B2E"/>
    <w:rsid w:val="B7934221"/>
    <w:rsid w:val="B7F9A305"/>
    <w:rsid w:val="BB7677BF"/>
    <w:rsid w:val="BBDF8B3E"/>
    <w:rsid w:val="BBFFE2B8"/>
    <w:rsid w:val="BC5C7EB9"/>
    <w:rsid w:val="BDCDA232"/>
    <w:rsid w:val="BDFA3973"/>
    <w:rsid w:val="BF78197E"/>
    <w:rsid w:val="BF7B7629"/>
    <w:rsid w:val="BFBF878A"/>
    <w:rsid w:val="BFEF5417"/>
    <w:rsid w:val="CBDDF96E"/>
    <w:rsid w:val="CEEE4186"/>
    <w:rsid w:val="CFBE93C1"/>
    <w:rsid w:val="D7E49566"/>
    <w:rsid w:val="D9FF5123"/>
    <w:rsid w:val="DD34DC90"/>
    <w:rsid w:val="DEEF6A16"/>
    <w:rsid w:val="DFDF69D6"/>
    <w:rsid w:val="DFF31D07"/>
    <w:rsid w:val="DFF73ADA"/>
    <w:rsid w:val="DFFA6BA4"/>
    <w:rsid w:val="E1777538"/>
    <w:rsid w:val="E3F4B1C7"/>
    <w:rsid w:val="E77EAC41"/>
    <w:rsid w:val="E7DFEC9A"/>
    <w:rsid w:val="E7FDBD8D"/>
    <w:rsid w:val="EBFBBF99"/>
    <w:rsid w:val="ED4BA285"/>
    <w:rsid w:val="EDF47437"/>
    <w:rsid w:val="EDFD00F0"/>
    <w:rsid w:val="EE6E08BC"/>
    <w:rsid w:val="EE7D6868"/>
    <w:rsid w:val="EF77F731"/>
    <w:rsid w:val="EF79BE03"/>
    <w:rsid w:val="EF7F80C0"/>
    <w:rsid w:val="EFCBBC1F"/>
    <w:rsid w:val="EFEB82C5"/>
    <w:rsid w:val="EFF6306F"/>
    <w:rsid w:val="EFF718B0"/>
    <w:rsid w:val="EFF9BEAE"/>
    <w:rsid w:val="EFFF920A"/>
    <w:rsid w:val="F3CB15A4"/>
    <w:rsid w:val="F3F922C9"/>
    <w:rsid w:val="F3FF6B97"/>
    <w:rsid w:val="F6D98289"/>
    <w:rsid w:val="F6DF581C"/>
    <w:rsid w:val="F74F0D82"/>
    <w:rsid w:val="F77B4DAE"/>
    <w:rsid w:val="F78EF10C"/>
    <w:rsid w:val="F7CBC69B"/>
    <w:rsid w:val="F7DF880C"/>
    <w:rsid w:val="F7EF52AF"/>
    <w:rsid w:val="F7FFBE45"/>
    <w:rsid w:val="F978A6E0"/>
    <w:rsid w:val="FAF736D0"/>
    <w:rsid w:val="FBF98EDF"/>
    <w:rsid w:val="FBFF2C9C"/>
    <w:rsid w:val="FBFF7520"/>
    <w:rsid w:val="FCCEABEB"/>
    <w:rsid w:val="FDA3F08E"/>
    <w:rsid w:val="FDC3D503"/>
    <w:rsid w:val="FDCCE5D3"/>
    <w:rsid w:val="FDDBEEF4"/>
    <w:rsid w:val="FDDE344C"/>
    <w:rsid w:val="FDDF8A19"/>
    <w:rsid w:val="FEDFD7FA"/>
    <w:rsid w:val="FEF66B3A"/>
    <w:rsid w:val="FF2F26D7"/>
    <w:rsid w:val="FF3E5C97"/>
    <w:rsid w:val="FF5D372D"/>
    <w:rsid w:val="FF5EDD9A"/>
    <w:rsid w:val="FF7FF2E1"/>
    <w:rsid w:val="FFB956C8"/>
    <w:rsid w:val="FFEFC9FC"/>
    <w:rsid w:val="FFFDE34B"/>
    <w:rsid w:val="FFFF8B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4"/>
    <w:qFormat/>
    <w:uiPriority w:val="0"/>
    <w:pPr>
      <w:keepNext/>
      <w:keepLines/>
      <w:numPr>
        <w:ilvl w:val="0"/>
        <w:numId w:val="1"/>
      </w:numPr>
      <w:adjustRightInd w:val="0"/>
      <w:spacing w:before="120" w:after="120"/>
      <w:textAlignment w:val="baseline"/>
      <w:outlineLvl w:val="0"/>
    </w:pPr>
    <w:rPr>
      <w:rFonts w:eastAsia="黑体"/>
      <w:kern w:val="44"/>
      <w:sz w:val="28"/>
    </w:rPr>
  </w:style>
  <w:style w:type="paragraph" w:styleId="3">
    <w:name w:val="heading 2"/>
    <w:basedOn w:val="1"/>
    <w:next w:val="1"/>
    <w:link w:val="35"/>
    <w:qFormat/>
    <w:uiPriority w:val="0"/>
    <w:pPr>
      <w:keepNext/>
      <w:keepLines/>
      <w:numPr>
        <w:ilvl w:val="1"/>
        <w:numId w:val="1"/>
      </w:numPr>
      <w:adjustRightInd w:val="0"/>
      <w:spacing w:before="120" w:after="120"/>
      <w:textAlignment w:val="baseline"/>
      <w:outlineLvl w:val="1"/>
    </w:pPr>
    <w:rPr>
      <w:rFonts w:eastAsia="黑体"/>
      <w:kern w:val="0"/>
      <w:sz w:val="24"/>
    </w:rPr>
  </w:style>
  <w:style w:type="paragraph" w:styleId="4">
    <w:name w:val="heading 3"/>
    <w:basedOn w:val="1"/>
    <w:next w:val="1"/>
    <w:link w:val="36"/>
    <w:qFormat/>
    <w:uiPriority w:val="0"/>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5">
    <w:name w:val="heading 4"/>
    <w:basedOn w:val="1"/>
    <w:next w:val="1"/>
    <w:link w:val="37"/>
    <w:qFormat/>
    <w:uiPriority w:val="0"/>
    <w:pPr>
      <w:numPr>
        <w:ilvl w:val="3"/>
        <w:numId w:val="1"/>
      </w:numPr>
      <w:adjustRightInd w:val="0"/>
      <w:spacing w:line="300" w:lineRule="auto"/>
      <w:outlineLvl w:val="3"/>
    </w:pPr>
    <w:rPr>
      <w:kern w:val="28"/>
      <w:sz w:val="24"/>
    </w:rPr>
  </w:style>
  <w:style w:type="paragraph" w:styleId="6">
    <w:name w:val="heading 5"/>
    <w:basedOn w:val="1"/>
    <w:next w:val="1"/>
    <w:link w:val="38"/>
    <w:qFormat/>
    <w:uiPriority w:val="9"/>
    <w:pPr>
      <w:keepNext/>
      <w:keepLines/>
      <w:spacing w:before="280" w:after="290" w:line="376" w:lineRule="auto"/>
      <w:outlineLvl w:val="4"/>
    </w:pPr>
    <w:rPr>
      <w:b/>
      <w:bCs/>
      <w:sz w:val="28"/>
      <w:szCs w:val="28"/>
    </w:rPr>
  </w:style>
  <w:style w:type="paragraph" w:styleId="7">
    <w:name w:val="heading 6"/>
    <w:basedOn w:val="1"/>
    <w:next w:val="1"/>
    <w:link w:val="39"/>
    <w:qFormat/>
    <w:uiPriority w:val="9"/>
    <w:pPr>
      <w:keepNext/>
      <w:keepLines/>
      <w:spacing w:before="240" w:after="64" w:line="320" w:lineRule="auto"/>
      <w:outlineLvl w:val="5"/>
    </w:pPr>
    <w:rPr>
      <w:rFonts w:ascii="Cambria" w:hAnsi="Cambria"/>
      <w:b/>
      <w:bCs/>
      <w:sz w:val="24"/>
      <w:szCs w:val="24"/>
    </w:rPr>
  </w:style>
  <w:style w:type="paragraph" w:styleId="8">
    <w:name w:val="heading 7"/>
    <w:basedOn w:val="1"/>
    <w:next w:val="1"/>
    <w:link w:val="40"/>
    <w:qFormat/>
    <w:uiPriority w:val="9"/>
    <w:pPr>
      <w:keepNext/>
      <w:keepLines/>
      <w:spacing w:before="240" w:after="64" w:line="320" w:lineRule="auto"/>
      <w:outlineLvl w:val="6"/>
    </w:pPr>
    <w:rPr>
      <w:b/>
      <w:bCs/>
      <w:sz w:val="24"/>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9">
    <w:name w:val="Normal Indent"/>
    <w:basedOn w:val="1"/>
    <w:link w:val="41"/>
    <w:qFormat/>
    <w:uiPriority w:val="0"/>
    <w:pPr>
      <w:spacing w:line="360" w:lineRule="auto"/>
      <w:ind w:firstLine="420"/>
    </w:pPr>
    <w:rPr>
      <w:sz w:val="24"/>
      <w:szCs w:val="24"/>
    </w:rPr>
  </w:style>
  <w:style w:type="paragraph" w:styleId="10">
    <w:name w:val="Document Map"/>
    <w:basedOn w:val="1"/>
    <w:link w:val="42"/>
    <w:qFormat/>
    <w:uiPriority w:val="99"/>
    <w:rPr>
      <w:rFonts w:ascii="宋体"/>
      <w:kern w:val="0"/>
      <w:sz w:val="18"/>
      <w:szCs w:val="18"/>
    </w:rPr>
  </w:style>
  <w:style w:type="paragraph" w:styleId="11">
    <w:name w:val="annotation text"/>
    <w:basedOn w:val="1"/>
    <w:link w:val="43"/>
    <w:qFormat/>
    <w:uiPriority w:val="99"/>
    <w:pPr>
      <w:jc w:val="left"/>
    </w:pPr>
  </w:style>
  <w:style w:type="paragraph" w:styleId="12">
    <w:name w:val="Body Text"/>
    <w:basedOn w:val="1"/>
    <w:next w:val="1"/>
    <w:link w:val="32"/>
    <w:qFormat/>
    <w:uiPriority w:val="0"/>
    <w:pPr>
      <w:adjustRightInd w:val="0"/>
      <w:spacing w:line="600" w:lineRule="exact"/>
      <w:textAlignment w:val="baseline"/>
    </w:pPr>
    <w:rPr>
      <w:rFonts w:eastAsia="仿宋体"/>
      <w:b/>
      <w:kern w:val="0"/>
      <w:sz w:val="32"/>
    </w:rPr>
  </w:style>
  <w:style w:type="paragraph" w:styleId="13">
    <w:name w:val="Body Text Indent"/>
    <w:basedOn w:val="1"/>
    <w:link w:val="44"/>
    <w:qFormat/>
    <w:uiPriority w:val="99"/>
    <w:pPr>
      <w:spacing w:after="120"/>
      <w:ind w:left="420" w:leftChars="200"/>
    </w:pPr>
  </w:style>
  <w:style w:type="paragraph" w:styleId="14">
    <w:name w:val="Plain Text"/>
    <w:basedOn w:val="1"/>
    <w:qFormat/>
    <w:uiPriority w:val="0"/>
    <w:rPr>
      <w:rFonts w:ascii="宋体" w:hAnsi="Courier New"/>
    </w:rPr>
  </w:style>
  <w:style w:type="paragraph" w:styleId="15">
    <w:name w:val="Date"/>
    <w:basedOn w:val="1"/>
    <w:next w:val="1"/>
    <w:link w:val="45"/>
    <w:qFormat/>
    <w:uiPriority w:val="99"/>
    <w:pPr>
      <w:ind w:left="100" w:leftChars="2500"/>
    </w:pPr>
  </w:style>
  <w:style w:type="paragraph" w:styleId="16">
    <w:name w:val="Balloon Text"/>
    <w:basedOn w:val="1"/>
    <w:link w:val="46"/>
    <w:qFormat/>
    <w:uiPriority w:val="99"/>
    <w:rPr>
      <w:sz w:val="18"/>
      <w:szCs w:val="18"/>
    </w:rPr>
  </w:style>
  <w:style w:type="paragraph" w:styleId="17">
    <w:name w:val="footer"/>
    <w:basedOn w:val="1"/>
    <w:link w:val="47"/>
    <w:qFormat/>
    <w:uiPriority w:val="99"/>
    <w:pPr>
      <w:tabs>
        <w:tab w:val="center" w:pos="4153"/>
        <w:tab w:val="right" w:pos="8306"/>
      </w:tabs>
      <w:snapToGrid w:val="0"/>
      <w:jc w:val="left"/>
    </w:pPr>
    <w:rPr>
      <w:sz w:val="18"/>
      <w:szCs w:val="18"/>
    </w:rPr>
  </w:style>
  <w:style w:type="paragraph" w:styleId="18">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9">
    <w:name w:val="toc 6"/>
    <w:basedOn w:val="1"/>
    <w:next w:val="1"/>
    <w:qFormat/>
    <w:uiPriority w:val="39"/>
    <w:pPr>
      <w:ind w:left="1050"/>
      <w:jc w:val="left"/>
    </w:pPr>
    <w:rPr>
      <w:sz w:val="18"/>
      <w:szCs w:val="18"/>
    </w:rPr>
  </w:style>
  <w:style w:type="paragraph" w:styleId="20">
    <w:name w:val="Body Text Indent 3"/>
    <w:basedOn w:val="1"/>
    <w:link w:val="49"/>
    <w:qFormat/>
    <w:uiPriority w:val="99"/>
    <w:pPr>
      <w:spacing w:after="120"/>
      <w:ind w:left="420" w:leftChars="200"/>
    </w:pPr>
    <w:rPr>
      <w:sz w:val="16"/>
      <w:szCs w:val="16"/>
    </w:rPr>
  </w:style>
  <w:style w:type="paragraph" w:styleId="21">
    <w:name w:val="Body Text 2"/>
    <w:basedOn w:val="1"/>
    <w:qFormat/>
    <w:uiPriority w:val="99"/>
    <w:pPr>
      <w:widowControl/>
      <w:snapToGrid w:val="0"/>
      <w:spacing w:before="50" w:afterLines="50" w:line="400" w:lineRule="exact"/>
      <w:jc w:val="left"/>
    </w:pPr>
    <w:rPr>
      <w:rFonts w:ascii="宋体" w:hAnsi="宋体"/>
      <w:color w:val="000000"/>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link w:val="50"/>
    <w:qFormat/>
    <w:uiPriority w:val="10"/>
    <w:pPr>
      <w:spacing w:before="240" w:after="60"/>
      <w:jc w:val="center"/>
      <w:outlineLvl w:val="0"/>
    </w:pPr>
    <w:rPr>
      <w:rFonts w:ascii="Cambria" w:hAnsi="Cambria"/>
      <w:b/>
      <w:bCs/>
      <w:sz w:val="32"/>
      <w:szCs w:val="32"/>
    </w:rPr>
  </w:style>
  <w:style w:type="paragraph" w:styleId="24">
    <w:name w:val="annotation subject"/>
    <w:basedOn w:val="11"/>
    <w:next w:val="11"/>
    <w:link w:val="51"/>
    <w:qFormat/>
    <w:uiPriority w:val="99"/>
    <w:rPr>
      <w:b/>
      <w:bCs/>
    </w:rPr>
  </w:style>
  <w:style w:type="paragraph" w:styleId="25">
    <w:name w:val="Body Text First Indent"/>
    <w:basedOn w:val="12"/>
    <w:next w:val="19"/>
    <w:link w:val="33"/>
    <w:qFormat/>
    <w:uiPriority w:val="0"/>
    <w:pPr>
      <w:adjustRightInd/>
      <w:spacing w:after="120" w:line="240" w:lineRule="auto"/>
      <w:ind w:firstLine="420" w:firstLineChars="100"/>
      <w:textAlignment w:val="auto"/>
    </w:pPr>
    <w:rPr>
      <w:rFonts w:eastAsia="宋体"/>
      <w:b w:val="0"/>
      <w:kern w:val="2"/>
      <w:sz w:val="21"/>
      <w:szCs w:val="24"/>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Hyperlink"/>
    <w:qFormat/>
    <w:uiPriority w:val="99"/>
    <w:rPr>
      <w:color w:val="666666"/>
      <w:u w:val="none"/>
    </w:rPr>
  </w:style>
  <w:style w:type="character" w:styleId="31">
    <w:name w:val="annotation reference"/>
    <w:qFormat/>
    <w:uiPriority w:val="0"/>
    <w:rPr>
      <w:sz w:val="21"/>
      <w:szCs w:val="21"/>
    </w:rPr>
  </w:style>
  <w:style w:type="character" w:customStyle="1" w:styleId="32">
    <w:name w:val="正文文本 字符"/>
    <w:link w:val="12"/>
    <w:qFormat/>
    <w:uiPriority w:val="0"/>
    <w:rPr>
      <w:rFonts w:ascii="Times New Roman" w:hAnsi="Times New Roman" w:eastAsia="仿宋体"/>
      <w:b/>
      <w:sz w:val="32"/>
    </w:rPr>
  </w:style>
  <w:style w:type="character" w:customStyle="1" w:styleId="33">
    <w:name w:val="正文文本首行缩进 字符"/>
    <w:link w:val="25"/>
    <w:qFormat/>
    <w:uiPriority w:val="0"/>
    <w:rPr>
      <w:rFonts w:ascii="Times New Roman" w:hAnsi="Times New Roman" w:eastAsia="仿宋体"/>
      <w:kern w:val="2"/>
      <w:sz w:val="21"/>
      <w:szCs w:val="24"/>
    </w:rPr>
  </w:style>
  <w:style w:type="character" w:customStyle="1" w:styleId="34">
    <w:name w:val="标题 1 字符"/>
    <w:link w:val="2"/>
    <w:qFormat/>
    <w:uiPriority w:val="0"/>
    <w:rPr>
      <w:rFonts w:ascii="Times New Roman" w:hAnsi="Times New Roman" w:eastAsia="黑体"/>
      <w:kern w:val="44"/>
      <w:sz w:val="28"/>
    </w:rPr>
  </w:style>
  <w:style w:type="character" w:customStyle="1" w:styleId="35">
    <w:name w:val="标题 2 字符"/>
    <w:link w:val="3"/>
    <w:qFormat/>
    <w:uiPriority w:val="0"/>
    <w:rPr>
      <w:rFonts w:ascii="Times New Roman" w:hAnsi="Times New Roman" w:eastAsia="黑体"/>
      <w:sz w:val="24"/>
    </w:rPr>
  </w:style>
  <w:style w:type="character" w:customStyle="1" w:styleId="36">
    <w:name w:val="标题 3 字符"/>
    <w:link w:val="4"/>
    <w:qFormat/>
    <w:uiPriority w:val="0"/>
    <w:rPr>
      <w:rFonts w:ascii="Times New Roman" w:hAnsi="Times New Roman" w:eastAsia="黑体"/>
      <w:sz w:val="24"/>
    </w:rPr>
  </w:style>
  <w:style w:type="character" w:customStyle="1" w:styleId="37">
    <w:name w:val="标题 4 字符"/>
    <w:link w:val="5"/>
    <w:qFormat/>
    <w:uiPriority w:val="0"/>
    <w:rPr>
      <w:rFonts w:ascii="Times New Roman" w:hAnsi="Times New Roman"/>
      <w:kern w:val="28"/>
      <w:sz w:val="24"/>
    </w:rPr>
  </w:style>
  <w:style w:type="character" w:customStyle="1" w:styleId="38">
    <w:name w:val="标题 5 字符"/>
    <w:link w:val="6"/>
    <w:qFormat/>
    <w:uiPriority w:val="9"/>
    <w:rPr>
      <w:b/>
      <w:bCs/>
      <w:kern w:val="2"/>
      <w:sz w:val="28"/>
      <w:szCs w:val="28"/>
    </w:rPr>
  </w:style>
  <w:style w:type="character" w:customStyle="1" w:styleId="39">
    <w:name w:val="标题 6 字符"/>
    <w:link w:val="7"/>
    <w:qFormat/>
    <w:uiPriority w:val="9"/>
    <w:rPr>
      <w:rFonts w:ascii="Cambria" w:hAnsi="Cambria" w:eastAsia="宋体" w:cs="Times New Roman"/>
      <w:b/>
      <w:bCs/>
      <w:kern w:val="2"/>
      <w:sz w:val="24"/>
      <w:szCs w:val="24"/>
    </w:rPr>
  </w:style>
  <w:style w:type="character" w:customStyle="1" w:styleId="40">
    <w:name w:val="标题 7 字符"/>
    <w:link w:val="8"/>
    <w:qFormat/>
    <w:uiPriority w:val="9"/>
    <w:rPr>
      <w:b/>
      <w:bCs/>
      <w:kern w:val="2"/>
      <w:sz w:val="24"/>
      <w:szCs w:val="24"/>
    </w:rPr>
  </w:style>
  <w:style w:type="character" w:customStyle="1" w:styleId="41">
    <w:name w:val="正文缩进 字符"/>
    <w:link w:val="9"/>
    <w:qFormat/>
    <w:uiPriority w:val="0"/>
    <w:rPr>
      <w:rFonts w:ascii="Times New Roman" w:hAnsi="Times New Roman"/>
      <w:kern w:val="2"/>
      <w:sz w:val="24"/>
      <w:szCs w:val="24"/>
    </w:rPr>
  </w:style>
  <w:style w:type="character" w:customStyle="1" w:styleId="42">
    <w:name w:val="文档结构图 字符"/>
    <w:link w:val="10"/>
    <w:qFormat/>
    <w:uiPriority w:val="99"/>
    <w:rPr>
      <w:rFonts w:ascii="宋体" w:hAnsi="Times New Roman" w:eastAsia="宋体" w:cs="Times New Roman"/>
      <w:sz w:val="18"/>
      <w:szCs w:val="18"/>
    </w:rPr>
  </w:style>
  <w:style w:type="character" w:customStyle="1" w:styleId="43">
    <w:name w:val="批注文字 字符"/>
    <w:link w:val="11"/>
    <w:qFormat/>
    <w:uiPriority w:val="99"/>
    <w:rPr>
      <w:kern w:val="2"/>
      <w:sz w:val="21"/>
    </w:rPr>
  </w:style>
  <w:style w:type="character" w:customStyle="1" w:styleId="44">
    <w:name w:val="正文文本缩进 字符"/>
    <w:link w:val="13"/>
    <w:qFormat/>
    <w:uiPriority w:val="99"/>
    <w:rPr>
      <w:rFonts w:ascii="Times New Roman" w:hAnsi="Times New Roman"/>
      <w:kern w:val="2"/>
      <w:sz w:val="21"/>
    </w:rPr>
  </w:style>
  <w:style w:type="character" w:customStyle="1" w:styleId="45">
    <w:name w:val="日期 字符"/>
    <w:link w:val="15"/>
    <w:qFormat/>
    <w:uiPriority w:val="99"/>
    <w:rPr>
      <w:rFonts w:ascii="Times New Roman" w:hAnsi="Times New Roman"/>
      <w:kern w:val="2"/>
      <w:sz w:val="21"/>
    </w:rPr>
  </w:style>
  <w:style w:type="character" w:customStyle="1" w:styleId="46">
    <w:name w:val="批注框文本 字符"/>
    <w:link w:val="16"/>
    <w:qFormat/>
    <w:uiPriority w:val="99"/>
    <w:rPr>
      <w:rFonts w:ascii="Times New Roman" w:hAnsi="Times New Roman"/>
      <w:kern w:val="2"/>
      <w:sz w:val="18"/>
      <w:szCs w:val="18"/>
    </w:rPr>
  </w:style>
  <w:style w:type="character" w:customStyle="1" w:styleId="47">
    <w:name w:val="页脚 字符"/>
    <w:link w:val="17"/>
    <w:qFormat/>
    <w:uiPriority w:val="99"/>
    <w:rPr>
      <w:rFonts w:ascii="Times New Roman" w:hAnsi="Times New Roman"/>
      <w:kern w:val="2"/>
      <w:sz w:val="18"/>
      <w:szCs w:val="18"/>
    </w:rPr>
  </w:style>
  <w:style w:type="character" w:customStyle="1" w:styleId="48">
    <w:name w:val="页眉 字符"/>
    <w:link w:val="18"/>
    <w:qFormat/>
    <w:uiPriority w:val="99"/>
    <w:rPr>
      <w:rFonts w:ascii="Times New Roman" w:hAnsi="Times New Roman"/>
      <w:kern w:val="2"/>
      <w:sz w:val="18"/>
      <w:szCs w:val="18"/>
    </w:rPr>
  </w:style>
  <w:style w:type="character" w:customStyle="1" w:styleId="49">
    <w:name w:val="正文文本缩进 3 字符"/>
    <w:link w:val="20"/>
    <w:qFormat/>
    <w:uiPriority w:val="99"/>
    <w:rPr>
      <w:rFonts w:ascii="Times New Roman" w:hAnsi="Times New Roman"/>
      <w:kern w:val="2"/>
      <w:sz w:val="16"/>
      <w:szCs w:val="16"/>
    </w:rPr>
  </w:style>
  <w:style w:type="character" w:customStyle="1" w:styleId="50">
    <w:name w:val="标题 字符"/>
    <w:link w:val="23"/>
    <w:qFormat/>
    <w:uiPriority w:val="10"/>
    <w:rPr>
      <w:rFonts w:ascii="Cambria" w:hAnsi="Cambria" w:eastAsia="宋体" w:cs="Times New Roman"/>
      <w:b/>
      <w:bCs/>
      <w:kern w:val="2"/>
      <w:sz w:val="32"/>
      <w:szCs w:val="32"/>
    </w:rPr>
  </w:style>
  <w:style w:type="character" w:customStyle="1" w:styleId="51">
    <w:name w:val="批注主题 字符"/>
    <w:link w:val="24"/>
    <w:qFormat/>
    <w:uiPriority w:val="99"/>
    <w:rPr>
      <w:b/>
      <w:bCs/>
      <w:kern w:val="2"/>
      <w:sz w:val="21"/>
    </w:rPr>
  </w:style>
  <w:style w:type="paragraph" w:customStyle="1" w:styleId="52">
    <w:name w:val="_Style 2"/>
    <w:basedOn w:val="1"/>
    <w:qFormat/>
    <w:uiPriority w:val="0"/>
    <w:pPr>
      <w:ind w:firstLine="200" w:firstLineChars="200"/>
    </w:pPr>
    <w:rPr>
      <w:rFonts w:ascii="Calibri" w:hAnsi="Calibri"/>
      <w:sz w:val="28"/>
    </w:rPr>
  </w:style>
  <w:style w:type="character" w:customStyle="1" w:styleId="53">
    <w:name w:val="font01"/>
    <w:qFormat/>
    <w:uiPriority w:val="0"/>
    <w:rPr>
      <w:rFonts w:hint="eastAsia" w:ascii="宋体" w:hAnsi="宋体" w:eastAsia="宋体"/>
      <w:color w:val="000000"/>
      <w:sz w:val="18"/>
      <w:szCs w:val="18"/>
      <w:u w:val="none"/>
    </w:rPr>
  </w:style>
  <w:style w:type="paragraph" w:customStyle="1" w:styleId="54">
    <w:name w:val="p0"/>
    <w:basedOn w:val="1"/>
    <w:qFormat/>
    <w:uiPriority w:val="0"/>
    <w:pPr>
      <w:widowControl/>
      <w:snapToGrid w:val="0"/>
      <w:spacing w:line="300" w:lineRule="auto"/>
      <w:ind w:firstLine="420"/>
    </w:pPr>
    <w:rPr>
      <w:kern w:val="0"/>
      <w:sz w:val="24"/>
      <w:szCs w:val="24"/>
    </w:rPr>
  </w:style>
  <w:style w:type="paragraph" w:customStyle="1" w:styleId="55">
    <w:name w:val="p15"/>
    <w:basedOn w:val="1"/>
    <w:qFormat/>
    <w:uiPriority w:val="0"/>
    <w:pPr>
      <w:widowControl/>
      <w:snapToGrid w:val="0"/>
      <w:spacing w:line="300" w:lineRule="auto"/>
      <w:ind w:firstLine="420"/>
    </w:pPr>
    <w:rPr>
      <w:kern w:val="0"/>
      <w:sz w:val="24"/>
      <w:szCs w:val="24"/>
    </w:rPr>
  </w:style>
  <w:style w:type="paragraph" w:customStyle="1" w:styleId="56">
    <w:name w:val="列出段落1"/>
    <w:basedOn w:val="1"/>
    <w:qFormat/>
    <w:uiPriority w:val="34"/>
    <w:pPr>
      <w:ind w:firstLine="200" w:firstLineChars="200"/>
    </w:pPr>
    <w:rPr>
      <w:rFonts w:hint="eastAsia"/>
    </w:rPr>
  </w:style>
  <w:style w:type="paragraph" w:customStyle="1" w:styleId="57">
    <w:name w:val="列表段落1"/>
    <w:basedOn w:val="1"/>
    <w:qFormat/>
    <w:uiPriority w:val="34"/>
    <w:pPr>
      <w:widowControl/>
      <w:ind w:firstLine="420" w:firstLineChars="200"/>
      <w:jc w:val="left"/>
    </w:pPr>
    <w:rPr>
      <w:rFonts w:ascii="宋体" w:hAnsi="宋体" w:cs="宋体"/>
      <w:kern w:val="0"/>
      <w:sz w:val="24"/>
      <w:szCs w:val="24"/>
    </w:rPr>
  </w:style>
  <w:style w:type="paragraph" w:customStyle="1" w:styleId="5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9">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60">
    <w:name w:val="节"/>
    <w:basedOn w:val="1"/>
    <w:qFormat/>
    <w:uiPriority w:val="0"/>
    <w:pPr>
      <w:numPr>
        <w:ilvl w:val="1"/>
        <w:numId w:val="2"/>
      </w:numPr>
    </w:pPr>
    <w:rPr>
      <w:szCs w:val="24"/>
    </w:rPr>
  </w:style>
  <w:style w:type="paragraph" w:customStyle="1" w:styleId="61">
    <w:name w:val="WPSOffice手动目录 1"/>
    <w:qFormat/>
    <w:uiPriority w:val="0"/>
    <w:rPr>
      <w:rFonts w:ascii="Calibri" w:hAnsi="Calibri" w:eastAsia="宋体" w:cs="Times New Roman"/>
      <w:lang w:val="en-US" w:eastAsia="zh-CN" w:bidi="ar-SA"/>
    </w:rPr>
  </w:style>
  <w:style w:type="paragraph" w:customStyle="1" w:styleId="62">
    <w:name w:val="表"/>
    <w:next w:val="1"/>
    <w:qFormat/>
    <w:uiPriority w:val="0"/>
    <w:rPr>
      <w:rFonts w:ascii="Calibri" w:hAnsi="Calibri" w:eastAsia="宋体" w:cs="Times New Roman"/>
      <w:kern w:val="2"/>
      <w:sz w:val="21"/>
      <w:szCs w:val="22"/>
      <w:lang w:val="en-US" w:eastAsia="zh-CN" w:bidi="ar-SA"/>
    </w:rPr>
  </w:style>
  <w:style w:type="character" w:customStyle="1" w:styleId="63">
    <w:name w:val="font41"/>
    <w:qFormat/>
    <w:uiPriority w:val="0"/>
    <w:rPr>
      <w:rFonts w:hint="eastAsia" w:ascii="宋体" w:hAnsi="宋体" w:eastAsia="宋体" w:cs="宋体"/>
      <w:color w:val="000000"/>
      <w:sz w:val="20"/>
      <w:szCs w:val="20"/>
      <w:u w:val="none"/>
    </w:rPr>
  </w:style>
  <w:style w:type="character" w:customStyle="1" w:styleId="64">
    <w:name w:val="font71"/>
    <w:qFormat/>
    <w:uiPriority w:val="0"/>
    <w:rPr>
      <w:rFonts w:hint="eastAsia" w:ascii="微软雅黑" w:hAnsi="微软雅黑" w:eastAsia="微软雅黑" w:cs="微软雅黑"/>
      <w:color w:val="000000"/>
      <w:sz w:val="18"/>
      <w:szCs w:val="18"/>
      <w:u w:val="none"/>
    </w:rPr>
  </w:style>
  <w:style w:type="paragraph" w:customStyle="1" w:styleId="65">
    <w:name w:val="修订1"/>
    <w:qFormat/>
    <w:uiPriority w:val="99"/>
    <w:rPr>
      <w:rFonts w:ascii="Times New Roman" w:hAnsi="Times New Roman" w:eastAsia="宋体" w:cs="Times New Roman"/>
      <w:kern w:val="2"/>
      <w:sz w:val="21"/>
      <w:lang w:val="en-US" w:eastAsia="zh-CN" w:bidi="ar-SA"/>
    </w:rPr>
  </w:style>
  <w:style w:type="paragraph" w:styleId="66">
    <w:name w:val="List Paragraph"/>
    <w:basedOn w:val="1"/>
    <w:qFormat/>
    <w:uiPriority w:val="99"/>
    <w:pPr>
      <w:ind w:firstLine="420" w:firstLineChars="200"/>
    </w:pPr>
  </w:style>
  <w:style w:type="paragraph" w:customStyle="1" w:styleId="67">
    <w:name w:val="修订2"/>
    <w:qFormat/>
    <w:uiPriority w:val="99"/>
    <w:rPr>
      <w:rFonts w:ascii="Times New Roman" w:hAnsi="Times New Roman" w:eastAsia="宋体" w:cs="Times New Roman"/>
      <w:kern w:val="2"/>
      <w:sz w:val="21"/>
      <w:lang w:val="en-US" w:eastAsia="zh-CN" w:bidi="ar-SA"/>
    </w:rPr>
  </w:style>
  <w:style w:type="paragraph" w:customStyle="1" w:styleId="68">
    <w:name w:val="List Paragraph1"/>
    <w:basedOn w:val="1"/>
    <w:qFormat/>
    <w:uiPriority w:val="99"/>
    <w:pPr>
      <w:ind w:firstLine="420" w:firstLineChars="200"/>
    </w:pPr>
  </w:style>
  <w:style w:type="character" w:customStyle="1" w:styleId="69">
    <w:name w:val="font21"/>
    <w:qFormat/>
    <w:uiPriority w:val="0"/>
    <w:rPr>
      <w:rFonts w:hint="eastAsia" w:ascii="仿宋" w:hAnsi="仿宋" w:eastAsia="仿宋" w:cs="仿宋"/>
      <w:color w:val="000000"/>
      <w:sz w:val="20"/>
      <w:szCs w:val="20"/>
      <w:u w:val="none"/>
    </w:rPr>
  </w:style>
  <w:style w:type="character" w:customStyle="1" w:styleId="70">
    <w:name w:val="font51"/>
    <w:qFormat/>
    <w:uiPriority w:val="0"/>
    <w:rPr>
      <w:rFonts w:hint="eastAsia" w:ascii="宋体" w:hAnsi="宋体" w:eastAsia="宋体" w:cs="宋体"/>
      <w:color w:val="00CCFF"/>
      <w:sz w:val="20"/>
      <w:szCs w:val="20"/>
      <w:u w:val="none"/>
    </w:rPr>
  </w:style>
  <w:style w:type="character" w:customStyle="1" w:styleId="71">
    <w:name w:val="font11"/>
    <w:basedOn w:val="28"/>
    <w:qFormat/>
    <w:uiPriority w:val="0"/>
    <w:rPr>
      <w:rFonts w:hint="eastAsia" w:ascii="宋体" w:hAnsi="宋体" w:eastAsia="宋体" w:cs="宋体"/>
      <w:color w:val="000000"/>
      <w:sz w:val="22"/>
      <w:szCs w:val="22"/>
      <w:u w:val="none"/>
    </w:rPr>
  </w:style>
  <w:style w:type="paragraph" w:customStyle="1" w:styleId="72">
    <w:name w:val="修订3"/>
    <w:qFormat/>
    <w:uiPriority w:val="99"/>
    <w:rPr>
      <w:rFonts w:ascii="Times New Roman" w:hAnsi="Times New Roman" w:eastAsia="宋体" w:cs="Times New Roman"/>
      <w:kern w:val="2"/>
      <w:sz w:val="21"/>
      <w:lang w:val="en-US" w:eastAsia="zh-CN" w:bidi="ar-SA"/>
    </w:rPr>
  </w:style>
  <w:style w:type="paragraph" w:customStyle="1" w:styleId="73">
    <w:name w:val="修订4"/>
    <w:qFormat/>
    <w:uiPriority w:val="99"/>
    <w:rPr>
      <w:rFonts w:ascii="Times New Roman" w:hAnsi="Times New Roman" w:eastAsia="宋体" w:cs="Times New Roman"/>
      <w:kern w:val="2"/>
      <w:sz w:val="21"/>
      <w:lang w:val="en-US" w:eastAsia="zh-CN" w:bidi="ar-SA"/>
    </w:rPr>
  </w:style>
  <w:style w:type="paragraph" w:customStyle="1" w:styleId="74">
    <w:name w:val="Revision1"/>
    <w:qFormat/>
    <w:uiPriority w:val="99"/>
    <w:rPr>
      <w:rFonts w:ascii="Times New Roman" w:hAnsi="Times New Roman" w:eastAsia="宋体" w:cs="Times New Roman"/>
      <w:kern w:val="2"/>
      <w:sz w:val="21"/>
      <w:lang w:val="en-US" w:eastAsia="zh-CN" w:bidi="ar-SA"/>
    </w:rPr>
  </w:style>
  <w:style w:type="paragraph" w:customStyle="1" w:styleId="75">
    <w:name w:val="修订5"/>
    <w:qFormat/>
    <w:uiPriority w:val="99"/>
    <w:rPr>
      <w:rFonts w:ascii="Times New Roman" w:hAnsi="Times New Roman" w:eastAsia="宋体" w:cs="Times New Roman"/>
      <w:kern w:val="2"/>
      <w:sz w:val="21"/>
      <w:lang w:val="en-US" w:eastAsia="zh-CN" w:bidi="ar-SA"/>
    </w:rPr>
  </w:style>
  <w:style w:type="paragraph" w:customStyle="1" w:styleId="76">
    <w:name w:val="修订6"/>
    <w:qFormat/>
    <w:uiPriority w:val="99"/>
    <w:rPr>
      <w:rFonts w:ascii="Times New Roman" w:hAnsi="Times New Roman" w:eastAsia="宋体" w:cs="Times New Roman"/>
      <w:kern w:val="2"/>
      <w:sz w:val="21"/>
      <w:lang w:val="en-US" w:eastAsia="zh-CN" w:bidi="ar-SA"/>
    </w:rPr>
  </w:style>
  <w:style w:type="character" w:customStyle="1" w:styleId="77">
    <w:name w:val="font61"/>
    <w:basedOn w:val="28"/>
    <w:qFormat/>
    <w:uiPriority w:val="0"/>
    <w:rPr>
      <w:rFonts w:hint="eastAsia" w:ascii="宋体" w:hAnsi="宋体" w:eastAsia="宋体" w:cs="宋体"/>
      <w:b/>
      <w:bCs/>
      <w:color w:val="000000"/>
      <w:sz w:val="28"/>
      <w:szCs w:val="28"/>
      <w:u w:val="none"/>
    </w:rPr>
  </w:style>
  <w:style w:type="character" w:customStyle="1" w:styleId="78">
    <w:name w:val="font31"/>
    <w:basedOn w:val="28"/>
    <w:qFormat/>
    <w:uiPriority w:val="0"/>
    <w:rPr>
      <w:rFonts w:hint="default" w:ascii="仿宋" w:hAnsi="仿宋" w:eastAsia="仿宋" w:cs="仿宋"/>
      <w:b/>
      <w:bCs/>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2235</Words>
  <Characters>2310</Characters>
  <Lines>67</Lines>
  <Paragraphs>18</Paragraphs>
  <TotalTime>10</TotalTime>
  <ScaleCrop>false</ScaleCrop>
  <LinksUpToDate>false</LinksUpToDate>
  <CharactersWithSpaces>2312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2025-10-08T19:12:00Z</dcterms:created>
  <dc:creator>admin</dc:creator>
  <cp:lastModifiedBy>admin</cp:lastModifiedBy>
  <cp:lastPrinted>2024-10-16T02:08:00Z</cp:lastPrinted>
  <dcterms:modified xsi:type="dcterms:W3CDTF">2026-07-01T06:09:39Z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EF78FA92713BB78B0B870869C06E7751_43</vt:lpwstr>
  </property>
  <property fmtid="{D5CDD505-2E9C-101B-9397-08002B2CF9AE}" pid="4" name="KSOTemplateDocerSaveRecord">
    <vt:lpwstr>eyJoZGlkIjoiZGM2MDczYzIzZTU3NzM0MjlkZDBmZmFiMzkzMTIzNjAiLCJ1c2VySWQiOiIxNDA5MDU4NjM5In0=</vt:lpwstr>
  </property>
</Properties>
</file>